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D9253">
      <w:pPr>
        <w:spacing w:after="0" w:line="240" w:lineRule="auto"/>
        <w:ind w:right="5386"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14:paraId="42B28E31">
      <w:pPr>
        <w:spacing w:after="0" w:line="240" w:lineRule="auto"/>
        <w:ind w:right="453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МУНИЦИПАЛЬНОГО </w:t>
      </w:r>
    </w:p>
    <w:p w14:paraId="43B65F7A">
      <w:pPr>
        <w:spacing w:after="0" w:line="240" w:lineRule="auto"/>
        <w:ind w:right="538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ОБРАЗОВАНИЯ</w:t>
      </w:r>
    </w:p>
    <w:p w14:paraId="5CE03D0C">
      <w:pPr>
        <w:spacing w:after="0" w:line="240" w:lineRule="auto"/>
        <w:ind w:right="439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ЛЕНИНСКИЙ СЕЛЬСОВЕТ  </w:t>
      </w:r>
    </w:p>
    <w:p w14:paraId="547CA00B">
      <w:pPr>
        <w:spacing w:after="0" w:line="240" w:lineRule="auto"/>
        <w:ind w:right="538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ОРЕНБУРГСКОГО РАЙОНА    </w:t>
      </w:r>
    </w:p>
    <w:p w14:paraId="5AEE6B1B">
      <w:pPr>
        <w:spacing w:after="0" w:line="240" w:lineRule="auto"/>
        <w:ind w:right="453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14:paraId="2EF0CCA9">
      <w:pPr>
        <w:spacing w:after="0" w:line="240" w:lineRule="auto"/>
        <w:ind w:right="4536"/>
        <w:rPr>
          <w:rFonts w:ascii="Times New Roman" w:hAnsi="Times New Roman"/>
          <w:b/>
          <w:sz w:val="28"/>
          <w:szCs w:val="28"/>
        </w:rPr>
      </w:pPr>
    </w:p>
    <w:p w14:paraId="6B2F6663">
      <w:pPr>
        <w:spacing w:after="0" w:line="240" w:lineRule="auto"/>
        <w:ind w:right="4536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 О С Т А Н О В Л Е Н И Е</w:t>
      </w:r>
    </w:p>
    <w:p w14:paraId="3DDA8CC0">
      <w:pPr>
        <w:spacing w:after="0" w:line="240" w:lineRule="auto"/>
        <w:ind w:right="53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14:paraId="77456BA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hint="default" w:ascii="Times New Roman" w:hAnsi="Times New Roman"/>
          <w:sz w:val="28"/>
          <w:szCs w:val="28"/>
          <w:lang w:val="ru-RU"/>
        </w:rPr>
        <w:t>05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  №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161 </w:t>
      </w:r>
      <w:r>
        <w:rPr>
          <w:rFonts w:ascii="Times New Roman" w:hAnsi="Times New Roman"/>
          <w:sz w:val="28"/>
          <w:szCs w:val="28"/>
        </w:rPr>
        <w:t>-п</w:t>
      </w:r>
    </w:p>
    <w:p w14:paraId="2699F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78856F">
      <w:pPr>
        <w:widowControl/>
        <w:jc w:val="both"/>
        <w:outlineLvl w:val="0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t>б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утверждении положения</w:t>
      </w:r>
    </w:p>
    <w:p w14:paraId="6FD2FC7A">
      <w:pPr>
        <w:widowControl/>
        <w:jc w:val="both"/>
        <w:outlineLvl w:val="0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об увековечении памяти погибших (умерших)</w:t>
      </w:r>
    </w:p>
    <w:p w14:paraId="77AB8C23">
      <w:pPr>
        <w:widowControl/>
        <w:jc w:val="both"/>
        <w:outlineLvl w:val="0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уроженцев муниципального образования</w:t>
      </w:r>
    </w:p>
    <w:p w14:paraId="09172A14">
      <w:pPr>
        <w:widowControl/>
        <w:jc w:val="both"/>
        <w:outlineLvl w:val="0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Ленинский сельсовет Оренбургского района </w:t>
      </w:r>
    </w:p>
    <w:p w14:paraId="6D595FBD">
      <w:pPr>
        <w:widowControl/>
        <w:jc w:val="both"/>
        <w:outlineLvl w:val="0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Оренбургской области и постоянно проживавших </w:t>
      </w:r>
    </w:p>
    <w:p w14:paraId="09604514">
      <w:pPr>
        <w:widowControl/>
        <w:jc w:val="both"/>
        <w:outlineLvl w:val="0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на территории муниципального образования </w:t>
      </w:r>
    </w:p>
    <w:p w14:paraId="11CE98C6">
      <w:pPr>
        <w:widowControl/>
        <w:jc w:val="both"/>
        <w:outlineLvl w:val="0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Ленинский сельсовет Оренбургского района </w:t>
      </w:r>
    </w:p>
    <w:p w14:paraId="40D11C14">
      <w:pPr>
        <w:widowControl/>
        <w:jc w:val="both"/>
        <w:outlineLvl w:val="0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Оренбургской области на дату гибели (смерти)</w:t>
      </w:r>
    </w:p>
    <w:p w14:paraId="0A9DC9BB">
      <w:pPr>
        <w:widowControl/>
        <w:jc w:val="both"/>
        <w:outlineLvl w:val="0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в ходе специальной военной операции на </w:t>
      </w:r>
    </w:p>
    <w:p w14:paraId="7185C3D5">
      <w:pPr>
        <w:widowControl/>
        <w:jc w:val="both"/>
        <w:outlineLvl w:val="0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территориях Украины, Донецкой Народной Республики </w:t>
      </w:r>
    </w:p>
    <w:p w14:paraId="2853A065">
      <w:pPr>
        <w:widowControl/>
        <w:jc w:val="both"/>
        <w:outlineLvl w:val="0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и Луганской Народной Республики с 24 февраля 2022 года,</w:t>
      </w:r>
    </w:p>
    <w:p w14:paraId="01A16699">
      <w:pPr>
        <w:widowControl/>
        <w:jc w:val="both"/>
        <w:outlineLvl w:val="0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на территориях Запорожской и Херсонской областей</w:t>
      </w:r>
    </w:p>
    <w:p w14:paraId="0B000000">
      <w:pPr>
        <w:widowControl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C000000">
      <w:pPr>
        <w:widowControl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D000000">
      <w:pPr>
        <w:widowControl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соответствии с Федеральным законом Российской Федерации от 14.01.1993 N 4292-1 "Об увековечении памяти погибших при защите Отечества", руководствуясь Устав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ом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муниципального образования Ленинский сельсовет Оренбургского района Оренбургской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администрация муниципального образования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Ленинский сельсовет Оренбургского района Оренбургской области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постановляет:</w:t>
      </w:r>
    </w:p>
    <w:p w14:paraId="0E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Утвердить прилагаемое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Положение</w:t>
      </w:r>
      <w:r>
        <w:rPr>
          <w:rFonts w:hint="default" w:ascii="Times New Roman" w:hAnsi="Times New Roman" w:cs="Times New Roman"/>
          <w:sz w:val="24"/>
          <w:szCs w:val="24"/>
        </w:rPr>
        <w:t xml:space="preserve"> об увековечении памяти погибших (умерших) уроженцев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муниципального образования Ленинский сельсовет Оренбургского района Оренбургской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и постоянно проживавших на территории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муниципального образования Ленинский сельсовет Оренбургского района </w:t>
      </w:r>
      <w:r>
        <w:rPr>
          <w:rFonts w:hint="default" w:ascii="Times New Roman" w:hAnsi="Times New Roman" w:cs="Times New Roman"/>
          <w:sz w:val="24"/>
          <w:szCs w:val="24"/>
        </w:rPr>
        <w:t>Оренбургской области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областей.</w:t>
      </w:r>
    </w:p>
    <w:p w14:paraId="0A697686">
      <w:pPr>
        <w:ind w:left="0" w:leftChars="0" w:firstLine="559" w:firstLineChars="2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рганизовать работу в соответствии с настоящим Положением.</w:t>
      </w:r>
    </w:p>
    <w:p w14:paraId="166CE474">
      <w:pPr>
        <w:tabs>
          <w:tab w:val="left" w:pos="851"/>
        </w:tabs>
        <w:ind w:left="0" w:leftChars="0" w:firstLine="559" w:firstLineChars="233"/>
        <w:jc w:val="both"/>
        <w:rPr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образования Ленинский сельсовет Оренбургского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9DE841">
      <w:pPr>
        <w:ind w:left="0" w:leftChars="0" w:firstLine="559" w:firstLineChars="233"/>
        <w:jc w:val="both"/>
        <w:rPr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Опубликовать данное постановление в </w:t>
      </w:r>
      <w:r>
        <w:rPr>
          <w:rFonts w:ascii="Times New Roman" w:hAnsi="Times New Roman" w:cs="Times New Roman"/>
          <w:sz w:val="24"/>
          <w:szCs w:val="24"/>
          <w:lang w:val="ru-RU"/>
        </w:rPr>
        <w:t>периодичном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печатном издании</w:t>
      </w:r>
      <w:r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муниципального образования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>Ленинский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сельсовет </w:t>
      </w:r>
      <w:r>
        <w:rPr>
          <w:rFonts w:ascii="Times New Roman" w:hAnsi="Times New Roman" w:cs="Times New Roman"/>
          <w:sz w:val="24"/>
          <w:szCs w:val="24"/>
        </w:rPr>
        <w:t>Оренбургск</w:t>
      </w:r>
      <w:r>
        <w:rPr>
          <w:rFonts w:ascii="Times New Roman" w:hAnsi="Times New Roman" w:cs="Times New Roman"/>
          <w:sz w:val="24"/>
          <w:szCs w:val="24"/>
          <w:lang w:val="ru-RU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Оренбургской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3234D4">
      <w:pPr>
        <w:tabs>
          <w:tab w:val="left" w:pos="851"/>
        </w:tabs>
        <w:ind w:left="0" w:leftChars="0" w:firstLine="559" w:firstLineChars="2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. Постановление вступает в силу после его официального опубликования.</w:t>
      </w:r>
    </w:p>
    <w:p w14:paraId="67EA05F8">
      <w:pPr>
        <w:widowControl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B3028E8">
      <w:pPr>
        <w:tabs>
          <w:tab w:val="left" w:pos="1150"/>
        </w:tabs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.Г.Табаков</w:t>
      </w:r>
    </w:p>
    <w:p w14:paraId="3213121F">
      <w:pPr>
        <w:widowControl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6000000">
      <w:pPr>
        <w:widowControl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8000000">
      <w:pPr>
        <w:widowControl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9000000">
      <w:pPr>
        <w:widowControl/>
        <w:jc w:val="right"/>
        <w:outlineLvl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Утверждено</w:t>
      </w:r>
    </w:p>
    <w:p w14:paraId="2A000000">
      <w:pPr>
        <w:widowControl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Постановлением</w:t>
      </w:r>
    </w:p>
    <w:p w14:paraId="2B000000">
      <w:pPr>
        <w:widowControl/>
        <w:wordWrap w:val="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Администрации МО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Ленинский сельсовет</w:t>
      </w:r>
    </w:p>
    <w:p w14:paraId="2E06E442">
      <w:pPr>
        <w:widowControl/>
        <w:wordWrap w:val="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Оренбургского района Оренбургской области</w:t>
      </w:r>
    </w:p>
    <w:p w14:paraId="2C000000">
      <w:pPr>
        <w:widowControl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от 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июня</w:t>
      </w:r>
      <w:r>
        <w:rPr>
          <w:rFonts w:hint="default" w:ascii="Times New Roman" w:hAnsi="Times New Roman" w:cs="Times New Roman"/>
          <w:sz w:val="24"/>
          <w:szCs w:val="24"/>
        </w:rPr>
        <w:t xml:space="preserve"> 2026 г. N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161-п</w:t>
      </w:r>
    </w:p>
    <w:p w14:paraId="2D000000">
      <w:pPr>
        <w:widowControl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E000000">
      <w:pPr>
        <w:widowControl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ПОЛОЖЕНИЕ</w:t>
      </w:r>
    </w:p>
    <w:p w14:paraId="574E2A61">
      <w:pPr>
        <w:widowControl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ОБ УВЕКОВЕЧЕНИИ ПАМЯТИ ПОГИБШИХ (УМЕРШИХ) УРОЖЕНЦЕВ </w:t>
      </w:r>
    </w:p>
    <w:p w14:paraId="3D5A90FE">
      <w:pPr>
        <w:widowControl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ЛЕНИНСКИЙ СЕЛЬСОВЕТ ОРЕНБУРГСКОГО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ОРЕНБУРГСКОЙ ОБЛАСТИ </w:t>
      </w:r>
    </w:p>
    <w:p w14:paraId="30000000">
      <w:pPr>
        <w:widowControl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 ПОСТОЯННО ПРОЖИВАВШИХ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НА ТЕРРИТОРИИ МО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ЛЕНИНСКИЙ СЕЛЬСОВЕТ ОРЕНБУРГСКОГО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ОРЕНБУРГСКОЙ ОБЛАСТИ НА ДАТУ</w:t>
      </w:r>
    </w:p>
    <w:p w14:paraId="31000000">
      <w:pPr>
        <w:widowControl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ГИБЕЛИ (СМЕРТИ) В ХОДЕ СПЕЦИАЛЬНОЙ ВОЕННОЙ ОПЕРАЦИИ</w:t>
      </w:r>
    </w:p>
    <w:p w14:paraId="32000000">
      <w:pPr>
        <w:widowControl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ТЕРРИТОРИЯХ УКРАИНЫ, ДОНЕЦКОЙ НАРОДНОЙ РЕСПУБЛИКИ</w:t>
      </w:r>
    </w:p>
    <w:p w14:paraId="33000000">
      <w:pPr>
        <w:widowControl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 ЛУГАНСКОЙ НАРОДНОЙ РЕСПУБЛИКИ С 24 ФЕВРАЛЯ 2022 ГОДА,</w:t>
      </w:r>
    </w:p>
    <w:p w14:paraId="34000000">
      <w:pPr>
        <w:widowControl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ТЕРРИТОРИЯХ ЗАПОРОЖСКОЙ И ХЕРСОНСКОЙ ОБЛАСТЕЙ</w:t>
      </w:r>
    </w:p>
    <w:p w14:paraId="35000000">
      <w:pPr>
        <w:widowControl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6000000">
      <w:pPr>
        <w:widowControl/>
        <w:jc w:val="center"/>
        <w:outlineLvl w:val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Глава 1. ОБЩИЕ ПОЛОЖЕНИЯ</w:t>
      </w:r>
    </w:p>
    <w:p w14:paraId="37000000">
      <w:pPr>
        <w:widowControl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8000000">
      <w:pPr>
        <w:widowControl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1.1. Настоящее Положение об увековечении памяти погибших (умерших) уроженцев МО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Ленинский сельсовет Оренбургского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Оренбургской области и постоянно проживавших на территории МО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Ленинский сельсовет Оренбургского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 Оренбургской области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 с 30 сентября 2022 года (далее - Положение) разработано в соответствии с Законом Российской Федерации от 14 января 1993 года N 4292-1 "Об увековечении памяти погибших при Защите Отечества".</w:t>
      </w:r>
    </w:p>
    <w:p w14:paraId="39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1.2. Постоянное проживание погибшего (умершего) на территории МО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Ленинский сельсовет Оренбургского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Оренбургской области подтверждается регистрацией по месту жительства на территории МО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Ленинский сельсовет Оренбургского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 Оренбургской области, решением суда об установлении факта постоянного проживания, погибшего (умершего) на территории МО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Ленинский сельсовет Оренбургского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 Оренбургской области, выпиской из домовой книги.</w:t>
      </w:r>
    </w:p>
    <w:p w14:paraId="3A000000">
      <w:pPr>
        <w:widowControl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B000000">
      <w:pPr>
        <w:widowControl/>
        <w:jc w:val="center"/>
        <w:outlineLvl w:val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Глава 2. ФОРМЫ УВЕКОВЕЧЕНИЯ ПАМЯТИ ПОГИБШИХ (УМЕРШИХ)</w:t>
      </w:r>
    </w:p>
    <w:p w14:paraId="3C000000">
      <w:pPr>
        <w:widowControl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УРОЖЕНЦЕВ МО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ЛЕНИНСКИЙ СЕЛЬСОВЕТ ОРЕНБУРГСКОГО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ОРЕНБУРГСКОЙ ОБЛАСТИ В ХОДЕ</w:t>
      </w:r>
    </w:p>
    <w:p w14:paraId="3D000000">
      <w:pPr>
        <w:widowControl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СПЕЦИАЛЬНОЙ ВОЕННОЙ ОПЕРАЦИИ</w:t>
      </w:r>
    </w:p>
    <w:p w14:paraId="3E000000">
      <w:pPr>
        <w:widowControl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F000000">
      <w:pPr>
        <w:widowControl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2.1. Основными формами увековечения памяти погибших (умерших) уроженцев МО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Ленинский сельсовет Оренбургского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Оренбургской области в ходе специальной военной операции являются:</w:t>
      </w:r>
    </w:p>
    <w:p w14:paraId="40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1) создание и ведение Книг Памяти о погибших (умерших) уроженцах МО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Ленинский сельсовет Оренбургского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Оренбургской области в ходе специальной военной операции;</w:t>
      </w:r>
    </w:p>
    <w:p w14:paraId="41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2) присвоение имен погибших (умерших) уроженцев МО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Ленинский сельсовет Оренбургского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 Оренбургской области в ходе специальной военной операции улицам и площадям, установка памятных знаков на фасадах и (или) внутри зданий, а также размещение баннеров на рекламных щитах (билбордах);</w:t>
      </w:r>
    </w:p>
    <w:p w14:paraId="42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3) создание уголков воинской доблести, музеев славы, выставок героических подвигах погибших (умерших) уроженцев МО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Ленинский сельсовет Оренбургского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 Оренбургской области в ходе специальной военной операции;</w:t>
      </w:r>
    </w:p>
    <w:p w14:paraId="43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4) установка мемориальной доски, другого памятного знака, арт-объекта (в том числе мурала) погибшим (умершим) уроженцам МО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Ленинский сельсовет Оренбургского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Оренбургской области в ходе специальной военной операции;</w:t>
      </w:r>
    </w:p>
    <w:p w14:paraId="44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5) публикации в средствах массовой информации и в информационно-телекоммуникационной сети "Интернет" материалов о погибших (умерших) уроженцах МО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Ленинский сельсовет Оренбургского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 Оренбургской области в ходе специальной военной операции, посвященных их подвигам;</w:t>
      </w:r>
    </w:p>
    <w:p w14:paraId="45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6) проведение военно-патриотических уроков, спортивных мероприятий, посвященных памяти погибших (умерших) уроженцев МО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Ленинский сельсовет Оренбургского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 Оренбургской области в ходе специальной военной операции;</w:t>
      </w:r>
    </w:p>
    <w:p w14:paraId="46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7) содействие деятельности патриотических клубов, молодежных организаций.</w:t>
      </w:r>
    </w:p>
    <w:p w14:paraId="47000000">
      <w:pPr>
        <w:widowControl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8000000">
      <w:pPr>
        <w:widowControl/>
        <w:jc w:val="center"/>
        <w:outlineLvl w:val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Глава 3. КРИТЕРИИ ДЛЯ ПРИНЯТИЯ РЕШЕНИЯ ОБ УСТАНОВКЕ</w:t>
      </w:r>
    </w:p>
    <w:p w14:paraId="49000000">
      <w:pPr>
        <w:widowControl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МЕМОРИАЛЬНОЙ ДОСКИ, ДРУГОГО ПАМЯТНОГО ЗНАКА, АРТ-ОБЪЕКТА</w:t>
      </w:r>
    </w:p>
    <w:p w14:paraId="4A000000">
      <w:pPr>
        <w:widowControl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(В ТОМ ЧИСЛЕ МУРАЛА)</w:t>
      </w:r>
    </w:p>
    <w:p w14:paraId="4B000000">
      <w:pPr>
        <w:widowControl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C000000">
      <w:pPr>
        <w:widowControl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3.1. Критерием для принятия решения об установке мемориальной доски, других памятных знаков, арт-объекта (в том числе мурала) является наличие достоверных сведений, подтвержденных документально, о проявлении особого героизма, мужества, смелости, отваги увековечиваемого лица.</w:t>
      </w:r>
    </w:p>
    <w:p w14:paraId="4D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3.2. Рассмотрение вопроса об установке мемориальной доски, другого памятного знака, арт-объекта (в том числе мурала) производится по истечении не менее 6 месяцев и не позднее 5 лет со дня окончания специальной военной операции.</w:t>
      </w:r>
    </w:p>
    <w:p w14:paraId="4E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3.3. На лиц, удостоенных звания Героя Российской Федерации, награжденных орденом Мужества, ограничения по срокам обращения об установке мемориальной доски, другого памятного знака, арт-объекта (в том числе мурала) не распространяются.</w:t>
      </w:r>
    </w:p>
    <w:p w14:paraId="4F000000">
      <w:pPr>
        <w:widowControl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0000000">
      <w:pPr>
        <w:widowControl/>
        <w:jc w:val="center"/>
        <w:outlineLvl w:val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Глава 4. ПОРЯДОК НАПРАВЛЕНИЯ ХОДАТАЙСТВ ОБ УСТАНОВКЕ</w:t>
      </w:r>
    </w:p>
    <w:p w14:paraId="51000000">
      <w:pPr>
        <w:widowControl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МЕМОРИАЛЬНОЙ ДОСКИ, ДРУГОГО ПАМЯТНОГО ЗНАКА, АРТ-ОБЪЕКТА</w:t>
      </w:r>
    </w:p>
    <w:p w14:paraId="52000000">
      <w:pPr>
        <w:widowControl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(В ТОМ ЧИСЛЕ МУРАЛА)</w:t>
      </w:r>
    </w:p>
    <w:p w14:paraId="53000000">
      <w:pPr>
        <w:widowControl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4000000">
      <w:pPr>
        <w:widowControl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4.1. С инициативой об установке мемориальной доски, другого памятного знака, арт-объекта (в том числе мурала) могут выступать органы государственной власти, органы местного самоуправления, общественные и религиозные объединения, трудовые коллективы предприятий, учреждений, организаций, физические лица (далее - инициатор).</w:t>
      </w:r>
    </w:p>
    <w:p w14:paraId="55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4.2. Письменное ходатайство об установке мемориальной доски, другого памятного знака, арт-объекта (в том числе мурала), содержащее просьбу об увековечении памяти погибшего (умершего) уроженца МО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Ленинский сельсовет Оренбургского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Оренбургской области при выполнении воинского долга в ходе специальной военной операции лица (далее - ходатайство), и документы, указанные в 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пункте 4.3</w:t>
      </w:r>
      <w:r>
        <w:rPr>
          <w:rFonts w:hint="default" w:ascii="Times New Roman" w:hAnsi="Times New Roman" w:cs="Times New Roman"/>
          <w:sz w:val="24"/>
          <w:szCs w:val="24"/>
        </w:rPr>
        <w:t xml:space="preserve"> настоящего Положения направляются в Администрацию МО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Ленинский сельсовет Оренбургского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Оренбургской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на имя Главы Администрации МО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Ленинский сельсовет Оренбургского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Оренбургской области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56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4.3. В перечень документов, представляемых для увековечения, входят:</w:t>
      </w:r>
    </w:p>
    <w:p w14:paraId="57000000">
      <w:pPr>
        <w:widowControl/>
        <w:numPr>
          <w:ilvl w:val="0"/>
          <w:numId w:val="1"/>
        </w:numPr>
        <w:spacing w:before="2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ходатайство гражданина (организации);</w:t>
      </w:r>
    </w:p>
    <w:p w14:paraId="58000000">
      <w:pPr>
        <w:widowControl/>
        <w:numPr>
          <w:ilvl w:val="0"/>
          <w:numId w:val="1"/>
        </w:numPr>
        <w:spacing w:before="2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историческая или историко-биографическая справка об увековечиваемом защитнике Отечества; копии архивных, наградных документов, подтверждающих достоверность события или заслуги увековечиваемого лица;</w:t>
      </w:r>
    </w:p>
    <w:p w14:paraId="59000000">
      <w:pPr>
        <w:widowControl/>
        <w:numPr>
          <w:ilvl w:val="0"/>
          <w:numId w:val="1"/>
        </w:numPr>
        <w:spacing w:before="2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выписка из домовой книги с указанием периода проживания увековечиваемого лица по месту увековечения;</w:t>
      </w:r>
    </w:p>
    <w:p w14:paraId="5A000000">
      <w:pPr>
        <w:widowControl/>
        <w:numPr>
          <w:ilvl w:val="0"/>
          <w:numId w:val="1"/>
        </w:numPr>
        <w:spacing w:before="2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предложение по форме увековечения; сведения о предполагаемом месте установки мемориальной доски, другого памятного знака, арт-объекта (в том числе мурала) с обоснованием его выбора;</w:t>
      </w:r>
    </w:p>
    <w:p w14:paraId="5B000000">
      <w:pPr>
        <w:widowControl/>
        <w:numPr>
          <w:ilvl w:val="0"/>
          <w:numId w:val="1"/>
        </w:numPr>
        <w:spacing w:before="2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предложение по тексту надписи;</w:t>
      </w:r>
    </w:p>
    <w:p w14:paraId="5C000000">
      <w:pPr>
        <w:widowControl/>
        <w:numPr>
          <w:ilvl w:val="0"/>
          <w:numId w:val="1"/>
        </w:numPr>
        <w:spacing w:before="2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письменное обязательство ходатайствующего субъекта (инициатора) о финансировании работ по проектированию, изготовлению, установке и техническому обеспечению торжественного открытия мемориальной доски, другого памятного знака, арт-объекта (в том числе мурала) производятся за счет инициатора;</w:t>
      </w:r>
    </w:p>
    <w:p w14:paraId="5D000000">
      <w:pPr>
        <w:widowControl/>
        <w:numPr>
          <w:ilvl w:val="0"/>
          <w:numId w:val="1"/>
        </w:numPr>
        <w:spacing w:before="2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письменное обязательство ходатайствующего гражданина о финансировании работ, либо уведомление о невозможности осуществления финансирования.</w:t>
      </w:r>
    </w:p>
    <w:p w14:paraId="5E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4.4. Место установки мемориальной доски, другого памятного знака, арт-объекта (в том числе мурала) должно быть одобрено Комиссией МО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Ленинский сельсовет Оренбургского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Оренбургской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и собственником здания. Администрация МО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Ленинский сельсовет Оренбургского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Оренбургской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может отказать в согласовании места установки мемориальной доски, другого памятного знака, арт-объекта (в том числе мурала) в случае запланированного сноса или капитального ремонта здания, на котором инициатором предполагается установить мемориальную доску. В случае отказа в согласовании места установки мемориальной доски, другого памятного знака, арт-объекта (в том числе мурала) Администрация МО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Ленинский сельсовет Оренбургского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Оренбургской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направляет свое мотивированное заключение в Комиссию  для предварительного рассмотрения вопросов, связанных с увековечением памяти о выдающихся событиях и личностях (далее - Комиссия).</w:t>
      </w:r>
    </w:p>
    <w:p w14:paraId="5F000000">
      <w:pPr>
        <w:widowControl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0000000">
      <w:pPr>
        <w:widowControl/>
        <w:jc w:val="center"/>
        <w:outlineLvl w:val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Глава 5. ПОРЯДОК РАССМОТРЕНИЯ ХОДАТАЙСТВ И ПРИНЯТИЯ</w:t>
      </w:r>
    </w:p>
    <w:p w14:paraId="61000000">
      <w:pPr>
        <w:widowControl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РЕШЕНИЙ ПО НИМ</w:t>
      </w:r>
    </w:p>
    <w:p w14:paraId="62000000">
      <w:pPr>
        <w:widowControl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3000000">
      <w:pPr>
        <w:widowControl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5.1. Поступившее на имя Главы Администрации МО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Ленинский сельсовет Оренбургского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Оренбургской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ходатайство и документы в течение 2 рабочих дней передаются на рассмотрение Комиссии.</w:t>
      </w:r>
    </w:p>
    <w:p w14:paraId="64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5.2. Комиссия рассматривает ходатайство и проверяет прилагаемые к нему документы в течение 20 календарных дней со дня их регистрации.</w:t>
      </w:r>
    </w:p>
    <w:p w14:paraId="65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5.3. Комиссия вправе провести опрос общественного мнения по рассматриваемым ходатайствам.</w:t>
      </w:r>
    </w:p>
    <w:p w14:paraId="66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5.4. По результатам рассмотрения ходатайства и документов, указанных в 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пункте 4.3</w:t>
      </w:r>
      <w:r>
        <w:rPr>
          <w:rFonts w:hint="default"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14:paraId="67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1) поддержать ходатайство </w:t>
      </w:r>
      <w:r>
        <w:rPr>
          <w:rFonts w:hint="default" w:ascii="Times New Roman" w:hAnsi="Times New Roman" w:cs="Times New Roman"/>
          <w:b w:val="0"/>
          <w:sz w:val="24"/>
          <w:szCs w:val="24"/>
        </w:rPr>
        <w:t>и определить ответственных должностных лиц за реализацию ходатайства, сроки, порядок проведения работ по увековечению памяти (перечень заинтересованных органов 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т.д.);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2) рекомендовать ходатайствующей стороне увековечить память погибшего в других формах;</w:t>
      </w:r>
    </w:p>
    <w:p w14:paraId="68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3) </w:t>
      </w:r>
      <w:r>
        <w:rPr>
          <w:rFonts w:hint="default" w:ascii="Times New Roman" w:hAnsi="Times New Roman" w:cs="Times New Roman"/>
          <w:b w:val="0"/>
          <w:sz w:val="24"/>
          <w:szCs w:val="24"/>
        </w:rPr>
        <w:t>перенести рассмотрение ходатайств на срок, определяемый Комиссией , в связи с необходимостью получения дополнительных сведений и документов или по другим причинам, установленным Комиссией ;</w:t>
      </w:r>
    </w:p>
    <w:p w14:paraId="69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5.5. Решения, принятые Комиссией, оформляются протоколом.</w:t>
      </w:r>
    </w:p>
    <w:p w14:paraId="6A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5.6. При принятии решения, предусмотренного 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подпунктом 1 пункта 5.4</w:t>
      </w:r>
      <w:r>
        <w:rPr>
          <w:rFonts w:hint="default" w:ascii="Times New Roman" w:hAnsi="Times New Roman" w:cs="Times New Roman"/>
          <w:sz w:val="24"/>
          <w:szCs w:val="24"/>
        </w:rPr>
        <w:t xml:space="preserve"> настоящего Положения, Комиссия готовит проект постановления Администрации МО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Ленинский сельсовет Оренбургского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Оренбургской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об установке мемориальной доски, другого памятного знака и направляет его на подписание Главе Администрации МО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Ленинский сельсовет Оренбургского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Оренбургской области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6B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5.7. В случае принятия решения об отклонении ходатайства об установке произведения монументального искусства Комиссия направляет его инициатору вместе с заключением не позднее 5 дней со дня принятия такого решения.</w:t>
      </w:r>
    </w:p>
    <w:p w14:paraId="6C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5.8. В постановлении Администрации МО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Ленинский сельсовет Оренбургского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Оренбургской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об установке мемориальной доски, другого памятного знака указываются:</w:t>
      </w:r>
    </w:p>
    <w:p w14:paraId="6D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адрес места установки мемориальной доски, другого памятного знака;</w:t>
      </w:r>
    </w:p>
    <w:p w14:paraId="6E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содержание надписи;</w:t>
      </w:r>
    </w:p>
    <w:p w14:paraId="6F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3) срок установки мемориальной доски, другого памятного знака;</w:t>
      </w:r>
    </w:p>
    <w:p w14:paraId="70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4) источник финансового обеспечения работ по проектированию, изготовлению и установке мемориальной доски, другого памятного знака;</w:t>
      </w:r>
    </w:p>
    <w:p w14:paraId="71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5) ответственное лицо.</w:t>
      </w:r>
    </w:p>
    <w:p w14:paraId="72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Предельный срок эксплуатации баннера:</w:t>
      </w:r>
    </w:p>
    <w:p w14:paraId="73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Вертикального - 2 месяца;</w:t>
      </w:r>
    </w:p>
    <w:p w14:paraId="74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Горизонтального - 3 месяца.</w:t>
      </w:r>
    </w:p>
    <w:p w14:paraId="75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Хранение демонтированного баннера осуществляется Администрацией МО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Ленинский сельсовет Оренбургского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Оренбургской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в течение 1 месяца. Члены семьи погибшего в течение указанного срока имеют право забрать баннер. По истечении месячного срока баннер подлежит дальнейшей утилизации.</w:t>
      </w:r>
    </w:p>
    <w:p w14:paraId="76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5.9. Мемориальная доска, другой памятный знак устанавливаются за счет бюджетных средств МО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Ленинский сельсовет Оренбургского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Оренбургской области</w:t>
      </w:r>
      <w:r>
        <w:rPr>
          <w:rFonts w:hint="default" w:ascii="Times New Roman" w:hAnsi="Times New Roman" w:cs="Times New Roman"/>
          <w:sz w:val="24"/>
          <w:szCs w:val="24"/>
        </w:rPr>
        <w:t>. Допускается также установка мемориальной доски, другого памятного знака за счет внебюджетных средств.</w:t>
      </w:r>
    </w:p>
    <w:p w14:paraId="77000000">
      <w:pPr>
        <w:widowControl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8000000">
      <w:pPr>
        <w:widowControl/>
        <w:jc w:val="center"/>
        <w:outlineLvl w:val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Глава 6. АРХИТЕКТУРНО-ХУДОЖЕСТВЕННЫЕ ТРЕБОВАНИЯ,</w:t>
      </w:r>
    </w:p>
    <w:p w14:paraId="79000000">
      <w:pPr>
        <w:widowControl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ПРЕДЪЯВЛЯЕМЫЕ К МЕМОРИАЛЬНОЙ ДОСКЕ, ДРУГОМУ ПАМЯТНОМУ ЗНАКУ,</w:t>
      </w:r>
    </w:p>
    <w:p w14:paraId="7A000000">
      <w:pPr>
        <w:widowControl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АРТ-ОБЪЕКТА (В ТОМ ЧИСЛЕ МУРАЛА)</w:t>
      </w:r>
    </w:p>
    <w:p w14:paraId="7B000000">
      <w:pPr>
        <w:widowControl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C000000">
      <w:pPr>
        <w:widowControl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6.1. Архитектурно-художественное решение мемориальной доски, другого памятного знака, арт-объекта (в том числе мурала) не должно противоречить характеру места его установки, особенностям среды, в которую он привносится как новый элемент.</w:t>
      </w:r>
    </w:p>
    <w:p w14:paraId="7D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6.2. При согласовании проекта и места установки мемориальной доски, другого памятного знака, арт-объекта (в том числе мурала) учитываются следующие требования:</w:t>
      </w:r>
    </w:p>
    <w:p w14:paraId="7E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текст мемориальной доски, другого памятного знака, арт-объекта (в том числе мурала) должен быть оформлен в лаконичной форме и содержать полностью фамилию, имя, отчество увековечиваемого лица на русском языке;</w:t>
      </w:r>
    </w:p>
    <w:p w14:paraId="7F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в тексте мемориальной доски, другого памятного знака, арт-объекта (в том числе мурала) обязательны сведения о заслугах увековечиваемого лица;</w:t>
      </w:r>
    </w:p>
    <w:p w14:paraId="80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3) в композицию мемориальной доски кроме текста могут включаться портретные изображения, декоративные элементы, подсветка;</w:t>
      </w:r>
    </w:p>
    <w:p w14:paraId="81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4) мемориальная доска, другой памятный знак выполняются из долговечного камня (мрамор, гранит) или металлического сплава (бронза, чугун);</w:t>
      </w:r>
    </w:p>
    <w:p w14:paraId="82000000">
      <w:pPr>
        <w:widowControl/>
        <w:spacing w:before="24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5) мемориальная доска, другой памятный знак устанавливаются в хорошо просматриваемых местах на высоте не ниже двух метров (на фасадах или внутри зданий).</w:t>
      </w:r>
    </w:p>
    <w:p w14:paraId="83000000">
      <w:pPr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134" w:right="737" w:bottom="1134" w:left="1304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)"/>
      <w:lvlJc w:val="left"/>
      <w:pPr>
        <w:widowControl/>
        <w:ind w:left="720" w:hanging="360"/>
      </w:pPr>
    </w:lvl>
    <w:lvl w:ilvl="1" w:tentative="0">
      <w:start w:val="1"/>
      <w:numFmt w:val="russianLower"/>
      <w:lvlText w:val="%2)"/>
      <w:lvlJc w:val="left"/>
      <w:pPr>
        <w:widowControl/>
        <w:ind w:left="1440" w:hanging="360"/>
      </w:pPr>
    </w:lvl>
    <w:lvl w:ilvl="2" w:tentative="0">
      <w:start w:val="1"/>
      <w:numFmt w:val="lowerRoman"/>
      <w:lvlText w:val="%3)"/>
      <w:lvlJc w:val="right"/>
      <w:pPr>
        <w:widowControl/>
        <w:ind w:left="2160" w:hanging="360"/>
      </w:pPr>
    </w:lvl>
    <w:lvl w:ilvl="3" w:tentative="0">
      <w:start w:val="1"/>
      <w:numFmt w:val="decimal"/>
      <w:lvlText w:val="%4)"/>
      <w:lvlJc w:val="left"/>
      <w:pPr>
        <w:widowControl/>
        <w:ind w:left="2880" w:hanging="360"/>
      </w:pPr>
    </w:lvl>
    <w:lvl w:ilvl="4" w:tentative="0">
      <w:start w:val="1"/>
      <w:numFmt w:val="russianLower"/>
      <w:lvlText w:val="%5)"/>
      <w:lvlJc w:val="left"/>
      <w:pPr>
        <w:widowControl/>
        <w:ind w:left="3600" w:hanging="360"/>
      </w:pPr>
    </w:lvl>
    <w:lvl w:ilvl="5" w:tentative="0">
      <w:start w:val="1"/>
      <w:numFmt w:val="lowerRoman"/>
      <w:lvlText w:val="%6)"/>
      <w:lvlJc w:val="right"/>
      <w:pPr>
        <w:widowControl/>
        <w:ind w:left="4320" w:hanging="360"/>
      </w:pPr>
    </w:lvl>
    <w:lvl w:ilvl="6" w:tentative="0">
      <w:start w:val="1"/>
      <w:numFmt w:val="decimal"/>
      <w:lvlText w:val="%7."/>
      <w:lvlJc w:val="left"/>
      <w:pPr>
        <w:widowControl/>
        <w:ind w:left="5040" w:hanging="360"/>
      </w:pPr>
    </w:lvl>
    <w:lvl w:ilvl="7" w:tentative="0">
      <w:start w:val="1"/>
      <w:numFmt w:val="russianLower"/>
      <w:lvlText w:val="%8."/>
      <w:lvlJc w:val="left"/>
      <w:pPr>
        <w:widowControl/>
        <w:ind w:left="5760" w:hanging="360"/>
      </w:pPr>
    </w:lvl>
    <w:lvl w:ilvl="8" w:tentative="0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9BC60AF"/>
    <w:rsid w:val="64687C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XO Thames" w:hAnsi="XO Thames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">
    <w:name w:val="heading 1"/>
    <w:next w:val="1"/>
    <w:qFormat/>
    <w:uiPriority w:val="9"/>
    <w:pPr>
      <w:widowControl/>
      <w:spacing w:before="120" w:after="120" w:line="240" w:lineRule="auto"/>
      <w:ind w:left="0" w:right="0" w:firstLine="0"/>
      <w:jc w:val="both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widowControl/>
      <w:spacing w:before="120" w:after="120" w:line="240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widowControl/>
      <w:spacing w:before="120" w:after="120" w:line="240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widowControl/>
      <w:spacing w:before="120" w:after="120" w:line="240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widowControl/>
      <w:spacing w:before="120" w:after="120" w:line="240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semiHidden/>
    <w:unhideWhenUsed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toc 8"/>
    <w:next w:val="1"/>
    <w:qFormat/>
    <w:uiPriority w:val="39"/>
    <w:pPr>
      <w:widowControl/>
      <w:spacing w:before="0" w:after="0" w:line="240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1">
    <w:name w:val="toc 9"/>
    <w:next w:val="1"/>
    <w:qFormat/>
    <w:uiPriority w:val="39"/>
    <w:pPr>
      <w:widowControl/>
      <w:spacing w:before="0" w:after="0" w:line="240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2">
    <w:name w:val="toc 7"/>
    <w:next w:val="1"/>
    <w:qFormat/>
    <w:uiPriority w:val="39"/>
    <w:pPr>
      <w:widowControl/>
      <w:spacing w:before="0" w:after="0" w:line="240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3">
    <w:name w:val="toc 1"/>
    <w:next w:val="1"/>
    <w:qFormat/>
    <w:uiPriority w:val="39"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4">
    <w:name w:val="toc 6"/>
    <w:next w:val="1"/>
    <w:qFormat/>
    <w:uiPriority w:val="39"/>
    <w:pPr>
      <w:widowControl/>
      <w:spacing w:before="0" w:after="0" w:line="240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5">
    <w:name w:val="toc 3"/>
    <w:next w:val="1"/>
    <w:qFormat/>
    <w:uiPriority w:val="39"/>
    <w:pPr>
      <w:widowControl/>
      <w:spacing w:before="0" w:after="0" w:line="240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6">
    <w:name w:val="toc 2"/>
    <w:next w:val="1"/>
    <w:qFormat/>
    <w:uiPriority w:val="39"/>
    <w:pPr>
      <w:widowControl/>
      <w:spacing w:before="0" w:after="0" w:line="240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7">
    <w:name w:val="toc 4"/>
    <w:next w:val="1"/>
    <w:qFormat/>
    <w:uiPriority w:val="39"/>
    <w:pPr>
      <w:widowControl/>
      <w:spacing w:before="0" w:after="0" w:line="240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8">
    <w:name w:val="toc 5"/>
    <w:next w:val="1"/>
    <w:qFormat/>
    <w:uiPriority w:val="39"/>
    <w:pPr>
      <w:widowControl/>
      <w:spacing w:before="0" w:after="0" w:line="240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itle"/>
    <w:next w:val="1"/>
    <w:qFormat/>
    <w:uiPriority w:val="10"/>
    <w:pPr>
      <w:widowControl/>
      <w:spacing w:before="567" w:after="567" w:line="240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20">
    <w:name w:val="Subtitle"/>
    <w:next w:val="1"/>
    <w:qFormat/>
    <w:uiPriority w:val="11"/>
    <w:pPr>
      <w:widowControl/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paragraph" w:customStyle="1" w:styleId="21">
    <w:name w:val="Endnote"/>
    <w:link w:val="22"/>
    <w:qFormat/>
    <w:uiPriority w:val="0"/>
    <w:pPr>
      <w:widowControl/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2">
    <w:name w:val="Endnote1"/>
    <w:link w:val="21"/>
    <w:qFormat/>
    <w:uiPriority w:val="0"/>
    <w:rPr>
      <w:rFonts w:ascii="XO Thames" w:hAnsi="XO Thames"/>
      <w:sz w:val="22"/>
    </w:rPr>
  </w:style>
  <w:style w:type="paragraph" w:customStyle="1" w:styleId="23">
    <w:name w:val="Footnote"/>
    <w:link w:val="24"/>
    <w:qFormat/>
    <w:uiPriority w:val="0"/>
    <w:pPr>
      <w:widowControl/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4">
    <w:name w:val="Footnote1"/>
    <w:link w:val="23"/>
    <w:qFormat/>
    <w:uiPriority w:val="0"/>
    <w:rPr>
      <w:rFonts w:ascii="XO Thames" w:hAnsi="XO Thames"/>
      <w:sz w:val="22"/>
    </w:rPr>
  </w:style>
  <w:style w:type="paragraph" w:customStyle="1" w:styleId="25">
    <w:name w:val="Header and Footer"/>
    <w:link w:val="26"/>
    <w:qFormat/>
    <w:uiPriority w:val="0"/>
    <w:pPr>
      <w:widowControl/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26">
    <w:name w:val="Header and Footer1"/>
    <w:link w:val="25"/>
    <w:qFormat/>
    <w:uiPriority w:val="0"/>
    <w:rPr>
      <w:rFonts w:ascii="XO Thames" w:hAnsi="XO Thames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1594</Words>
  <Characters>11276</Characters>
  <TotalTime>11</TotalTime>
  <ScaleCrop>false</ScaleCrop>
  <LinksUpToDate>false</LinksUpToDate>
  <CharactersWithSpaces>12900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2026-01-22T06:51:00Z</dcterms:created>
  <dc:creator>Leninskii</dc:creator>
  <cp:lastModifiedBy>WPS_1777879935</cp:lastModifiedBy>
  <dcterms:modified xsi:type="dcterms:W3CDTF">2026-06-09T03:51:20Z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eyJoZGlkIjoiN2M1MTJlZmZjZGFmMzE5NmI4YTc4MzFiYWIzZjVkNjYiLCJ1c2VySWQiOiI4MjQ2MzQ5OTQ4MjEifQ==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C061938A6E594DAAA2658B8076912414_12</vt:lpwstr>
  </property>
</Properties>
</file>