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tblpY="1"/>
        <w:tblOverlap w:val="never"/>
        <w:tblW w:w="0" w:type="auto"/>
        <w:tblInd w:w="0" w:type="dxa"/>
        <w:tblLayout w:type="fixed"/>
        <w:tblCellMar>
          <w:top w:w="0" w:type="dxa"/>
          <w:left w:w="70" w:type="dxa"/>
          <w:bottom w:w="0" w:type="dxa"/>
          <w:right w:w="70" w:type="dxa"/>
        </w:tblCellMar>
      </w:tblPr>
      <w:tblGrid>
        <w:gridCol w:w="4678"/>
      </w:tblGrid>
      <w:tr w14:paraId="500CE89F">
        <w:tblPrEx>
          <w:tblCellMar>
            <w:top w:w="0" w:type="dxa"/>
            <w:left w:w="70" w:type="dxa"/>
            <w:bottom w:w="0" w:type="dxa"/>
            <w:right w:w="70" w:type="dxa"/>
          </w:tblCellMar>
        </w:tblPrEx>
        <w:trPr>
          <w:trHeight w:val="1135" w:hRule="atLeast"/>
        </w:trPr>
        <w:tc>
          <w:tcPr>
            <w:tcW w:w="4678" w:type="dxa"/>
          </w:tcPr>
          <w:p w14:paraId="74AECB88">
            <w:pPr>
              <w:autoSpaceDE w:val="0"/>
              <w:autoSpaceDN w:val="0"/>
              <w:adjustRightInd w:val="0"/>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СОВЕТ ДЕПУТАТОВ</w:t>
            </w:r>
          </w:p>
          <w:p w14:paraId="380DAA35">
            <w:pPr>
              <w:autoSpaceDE w:val="0"/>
              <w:autoSpaceDN w:val="0"/>
              <w:adjustRightInd w:val="0"/>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МУНИЦИПАЛЬНОГО</w:t>
            </w:r>
          </w:p>
          <w:p w14:paraId="351C6324">
            <w:pPr>
              <w:autoSpaceDE w:val="0"/>
              <w:autoSpaceDN w:val="0"/>
              <w:adjustRightInd w:val="0"/>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ОБРАЗОВАНИЯ</w:t>
            </w:r>
          </w:p>
          <w:p w14:paraId="2E60E83D">
            <w:pPr>
              <w:autoSpaceDE w:val="0"/>
              <w:autoSpaceDN w:val="0"/>
              <w:adjustRightInd w:val="0"/>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ЛЕНИНСКИЙ СЕЛЬСОВЕТ</w:t>
            </w:r>
          </w:p>
        </w:tc>
      </w:tr>
      <w:tr w14:paraId="5B034623">
        <w:tblPrEx>
          <w:tblCellMar>
            <w:top w:w="0" w:type="dxa"/>
            <w:left w:w="70" w:type="dxa"/>
            <w:bottom w:w="0" w:type="dxa"/>
            <w:right w:w="70" w:type="dxa"/>
          </w:tblCellMar>
        </w:tblPrEx>
        <w:trPr>
          <w:trHeight w:val="1882" w:hRule="atLeast"/>
        </w:trPr>
        <w:tc>
          <w:tcPr>
            <w:tcW w:w="4678" w:type="dxa"/>
          </w:tcPr>
          <w:p w14:paraId="3BC86314">
            <w:pPr>
              <w:autoSpaceDE w:val="0"/>
              <w:autoSpaceDN w:val="0"/>
              <w:adjustRightInd w:val="0"/>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ОРЕНБУРГСКОГО РАЙОНА</w:t>
            </w:r>
          </w:p>
          <w:p w14:paraId="57FF452B">
            <w:pPr>
              <w:autoSpaceDE w:val="0"/>
              <w:autoSpaceDN w:val="0"/>
              <w:adjustRightInd w:val="0"/>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ОРЕНБУРГСКОЙ ОБЛАСТИ</w:t>
            </w:r>
          </w:p>
          <w:p w14:paraId="7BD08BA7">
            <w:pPr>
              <w:autoSpaceDE w:val="0"/>
              <w:autoSpaceDN w:val="0"/>
              <w:adjustRightInd w:val="0"/>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пятый созыв</w:t>
            </w:r>
          </w:p>
          <w:p w14:paraId="7938DE23">
            <w:pPr>
              <w:autoSpaceDE w:val="0"/>
              <w:autoSpaceDN w:val="0"/>
              <w:adjustRightInd w:val="0"/>
              <w:jc w:val="center"/>
              <w:rPr>
                <w:rFonts w:ascii="Times New Roman" w:hAnsi="Times New Roman" w:cs="Times New Roman"/>
                <w:b/>
                <w:color w:val="000000" w:themeColor="text1"/>
                <w:sz w:val="28"/>
                <w:szCs w:val="28"/>
                <w14:textFill>
                  <w14:solidFill>
                    <w14:schemeClr w14:val="tx1"/>
                  </w14:solidFill>
                </w14:textFill>
              </w:rPr>
            </w:pPr>
          </w:p>
          <w:p w14:paraId="60CE7F53">
            <w:pPr>
              <w:autoSpaceDE w:val="0"/>
              <w:autoSpaceDN w:val="0"/>
              <w:adjustRightInd w:val="0"/>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Р Е Ш Е Н И Е </w:t>
            </w:r>
          </w:p>
          <w:p w14:paraId="305380D8">
            <w:pPr>
              <w:widowControl/>
              <w:ind w:firstLine="709"/>
              <w:jc w:val="both"/>
              <w:rPr>
                <w:rFonts w:ascii="Times New Roman" w:hAnsi="Times New Roman" w:cs="Times New Roman"/>
                <w:color w:val="000000" w:themeColor="text1"/>
                <w:sz w:val="28"/>
                <w:szCs w:val="28"/>
                <w14:textFill>
                  <w14:solidFill>
                    <w14:schemeClr w14:val="tx1"/>
                  </w14:solidFill>
                </w14:textFill>
              </w:rPr>
            </w:pPr>
          </w:p>
          <w:p w14:paraId="1F86A398">
            <w:pPr>
              <w:widowControl/>
              <w:tabs>
                <w:tab w:val="left" w:pos="1884"/>
              </w:tabs>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b/>
            </w:r>
          </w:p>
        </w:tc>
      </w:tr>
      <w:tr w14:paraId="140CB953">
        <w:tblPrEx>
          <w:tblCellMar>
            <w:top w:w="0" w:type="dxa"/>
            <w:left w:w="70" w:type="dxa"/>
            <w:bottom w:w="0" w:type="dxa"/>
            <w:right w:w="70" w:type="dxa"/>
          </w:tblCellMar>
        </w:tblPrEx>
        <w:trPr>
          <w:trHeight w:val="517" w:hRule="atLeast"/>
        </w:trPr>
        <w:tc>
          <w:tcPr>
            <w:tcW w:w="4678" w:type="dxa"/>
          </w:tcPr>
          <w:p w14:paraId="77FB17AE">
            <w:pPr>
              <w:autoSpaceDE w:val="0"/>
              <w:autoSpaceDN w:val="0"/>
              <w:adjustRightInd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20 марта  2026 года №</w:t>
            </w:r>
          </w:p>
        </w:tc>
      </w:tr>
      <w:tr w14:paraId="1088ED16">
        <w:tblPrEx>
          <w:tblCellMar>
            <w:top w:w="0" w:type="dxa"/>
            <w:left w:w="70" w:type="dxa"/>
            <w:bottom w:w="0" w:type="dxa"/>
            <w:right w:w="70" w:type="dxa"/>
          </w:tblCellMar>
        </w:tblPrEx>
        <w:trPr>
          <w:trHeight w:val="283" w:hRule="atLeast"/>
        </w:trPr>
        <w:tc>
          <w:tcPr>
            <w:tcW w:w="4678" w:type="dxa"/>
          </w:tcPr>
          <w:p w14:paraId="59DE2BD2">
            <w:pPr>
              <w:autoSpaceDE w:val="0"/>
              <w:autoSpaceDN w:val="0"/>
              <w:adjustRightInd w:val="0"/>
              <w:jc w:val="both"/>
              <w:rPr>
                <w:rFonts w:ascii="Times New Roman" w:hAnsi="Times New Roman" w:eastAsia="Calibri" w:cs="Times New Roman"/>
                <w:color w:val="000000" w:themeColor="text1"/>
                <w:sz w:val="28"/>
                <w:szCs w:val="28"/>
                <w:lang w:eastAsia="en-US"/>
                <w14:textFill>
                  <w14:solidFill>
                    <w14:schemeClr w14:val="tx1"/>
                  </w14:solidFill>
                </w14:textFill>
              </w:rPr>
            </w:pPr>
            <w:r>
              <w:rPr>
                <w:rFonts w:ascii="Times New Roman" w:hAnsi="Times New Roman" w:eastAsia="Calibri" w:cs="Times New Roman"/>
                <w:bCs/>
                <w:color w:val="000000" w:themeColor="text1"/>
                <w:sz w:val="28"/>
                <w:szCs w:val="28"/>
                <w:lang w:eastAsia="en-US"/>
                <w14:textFill>
                  <w14:solidFill>
                    <w14:schemeClr w14:val="tx1"/>
                  </w14:solidFill>
                </w14:textFill>
              </w:rPr>
              <w:t xml:space="preserve">О внесении дополнений и изменений в решение Совета депутатов муниципального образования Ленинский сельсовет Оренбургского района Оренбургской области от 22.10.2021 №30 «Об утверждении Положения о </w:t>
            </w:r>
            <w:bookmarkStart w:id="0" w:name="_Hlk73706793"/>
            <w:r>
              <w:rPr>
                <w:rFonts w:ascii="Times New Roman" w:hAnsi="Times New Roman" w:eastAsia="Calibri" w:cs="Times New Roman"/>
                <w:bCs/>
                <w:color w:val="000000" w:themeColor="text1"/>
                <w:sz w:val="28"/>
                <w:szCs w:val="28"/>
                <w:lang w:eastAsia="en-US"/>
                <w14:textFill>
                  <w14:solidFill>
                    <w14:schemeClr w14:val="tx1"/>
                  </w14:solidFill>
                </w14:textFill>
              </w:rPr>
              <w:t xml:space="preserve">муниципальном контроле </w:t>
            </w:r>
            <w:bookmarkEnd w:id="0"/>
            <w:r>
              <w:rPr>
                <w:rFonts w:ascii="Times New Roman" w:hAnsi="Times New Roman" w:eastAsia="Calibri" w:cs="Times New Roman"/>
                <w:bCs/>
                <w:color w:val="000000" w:themeColor="text1"/>
                <w:sz w:val="28"/>
                <w:szCs w:val="28"/>
                <w:lang w:eastAsia="en-US"/>
                <w14:textFill>
                  <w14:solidFill>
                    <w14:schemeClr w14:val="tx1"/>
                  </w14:solidFill>
                </w14:textFill>
              </w:rPr>
              <w:t>на автомобильном транспорте, городском наземном электрическом транспорте и в дорожном хозяйстве в границах</w:t>
            </w:r>
            <w:bookmarkStart w:id="1" w:name="_Hlk82684961"/>
            <w:r>
              <w:rPr>
                <w:rFonts w:ascii="Times New Roman" w:hAnsi="Times New Roman" w:eastAsia="Calibri" w:cs="Times New Roman"/>
                <w:bCs/>
                <w:color w:val="000000" w:themeColor="text1"/>
                <w:sz w:val="28"/>
                <w:szCs w:val="28"/>
                <w:lang w:eastAsia="en-US"/>
                <w14:textFill>
                  <w14:solidFill>
                    <w14:schemeClr w14:val="tx1"/>
                  </w14:solidFill>
                </w14:textFill>
              </w:rPr>
              <w:t xml:space="preserve"> </w:t>
            </w:r>
            <w:r>
              <w:rPr>
                <w:rFonts w:ascii="Times New Roman" w:hAnsi="Times New Roman" w:eastAsia="Calibri" w:cs="Times New Roman"/>
                <w:color w:val="000000" w:themeColor="text1"/>
                <w:sz w:val="28"/>
                <w:szCs w:val="28"/>
                <w:lang w:eastAsia="en-US"/>
                <w14:textFill>
                  <w14:solidFill>
                    <w14:schemeClr w14:val="tx1"/>
                  </w14:solidFill>
                </w14:textFill>
              </w:rPr>
              <w:t>муниципального образования Ленинский сельсовет Оренбургского район Оренбургской области</w:t>
            </w:r>
            <w:bookmarkEnd w:id="1"/>
            <w:r>
              <w:rPr>
                <w:rFonts w:ascii="Times New Roman" w:hAnsi="Times New Roman" w:eastAsia="Calibri" w:cs="Times New Roman"/>
                <w:color w:val="000000" w:themeColor="text1"/>
                <w:sz w:val="28"/>
                <w:szCs w:val="28"/>
                <w:lang w:eastAsia="en-US"/>
                <w14:textFill>
                  <w14:solidFill>
                    <w14:schemeClr w14:val="tx1"/>
                  </w14:solidFill>
                </w14:textFill>
              </w:rPr>
              <w:t>»</w:t>
            </w:r>
          </w:p>
        </w:tc>
      </w:tr>
    </w:tbl>
    <w:p w14:paraId="3370B55E">
      <w:pPr>
        <w:rPr>
          <w:color w:val="000000" w:themeColor="text1"/>
          <w14:textFill>
            <w14:solidFill>
              <w14:schemeClr w14:val="tx1"/>
            </w14:solidFill>
          </w14:textFill>
        </w:rPr>
      </w:pPr>
    </w:p>
    <w:p w14:paraId="4FB0E0DC">
      <w:pPr>
        <w:rPr>
          <w:rFonts w:hint="default"/>
          <w:color w:val="000000" w:themeColor="text1"/>
          <w:lang w:val="ru-RU"/>
          <w14:textFill>
            <w14:solidFill>
              <w14:schemeClr w14:val="tx1"/>
            </w14:solidFill>
          </w14:textFill>
        </w:rPr>
      </w:pPr>
      <w:r>
        <w:rPr>
          <w:color w:val="000000" w:themeColor="text1"/>
          <w:lang w:val="ru-RU"/>
          <w14:textFill>
            <w14:solidFill>
              <w14:schemeClr w14:val="tx1"/>
            </w14:solidFill>
          </w14:textFill>
        </w:rPr>
        <w:t>ПРОЕКТ</w:t>
      </w:r>
    </w:p>
    <w:p w14:paraId="6598DBAD">
      <w:pPr>
        <w:rPr>
          <w:color w:val="000000" w:themeColor="text1"/>
          <w14:textFill>
            <w14:solidFill>
              <w14:schemeClr w14:val="tx1"/>
            </w14:solidFill>
          </w14:textFill>
        </w:rPr>
      </w:pPr>
    </w:p>
    <w:p w14:paraId="62D5CE83">
      <w:pPr>
        <w:rPr>
          <w:color w:val="000000" w:themeColor="text1"/>
          <w14:textFill>
            <w14:solidFill>
              <w14:schemeClr w14:val="tx1"/>
            </w14:solidFill>
          </w14:textFill>
        </w:rPr>
      </w:pPr>
    </w:p>
    <w:p w14:paraId="51C0EE2E">
      <w:pPr>
        <w:rPr>
          <w:color w:val="000000" w:themeColor="text1"/>
          <w14:textFill>
            <w14:solidFill>
              <w14:schemeClr w14:val="tx1"/>
            </w14:solidFill>
          </w14:textFill>
        </w:rPr>
      </w:pPr>
    </w:p>
    <w:p w14:paraId="7849500D">
      <w:pPr>
        <w:rPr>
          <w:color w:val="000000" w:themeColor="text1"/>
          <w14:textFill>
            <w14:solidFill>
              <w14:schemeClr w14:val="tx1"/>
            </w14:solidFill>
          </w14:textFill>
        </w:rPr>
      </w:pPr>
    </w:p>
    <w:p w14:paraId="6DABE006">
      <w:pPr>
        <w:rPr>
          <w:color w:val="000000" w:themeColor="text1"/>
          <w14:textFill>
            <w14:solidFill>
              <w14:schemeClr w14:val="tx1"/>
            </w14:solidFill>
          </w14:textFill>
        </w:rPr>
      </w:pPr>
      <w:bookmarkStart w:id="2" w:name="_GoBack"/>
      <w:bookmarkEnd w:id="2"/>
    </w:p>
    <w:p w14:paraId="0CB7FB14">
      <w:pPr>
        <w:rPr>
          <w:color w:val="000000" w:themeColor="text1"/>
          <w14:textFill>
            <w14:solidFill>
              <w14:schemeClr w14:val="tx1"/>
            </w14:solidFill>
          </w14:textFill>
        </w:rPr>
      </w:pPr>
    </w:p>
    <w:p w14:paraId="0B8CFF5E">
      <w:pPr>
        <w:rPr>
          <w:color w:val="000000" w:themeColor="text1"/>
          <w14:textFill>
            <w14:solidFill>
              <w14:schemeClr w14:val="tx1"/>
            </w14:solidFill>
          </w14:textFill>
        </w:rPr>
      </w:pPr>
    </w:p>
    <w:p w14:paraId="5F7DBCA8">
      <w:pPr>
        <w:rPr>
          <w:color w:val="000000" w:themeColor="text1"/>
          <w14:textFill>
            <w14:solidFill>
              <w14:schemeClr w14:val="tx1"/>
            </w14:solidFill>
          </w14:textFill>
        </w:rPr>
      </w:pPr>
    </w:p>
    <w:p w14:paraId="71FCAD9B">
      <w:pPr>
        <w:rPr>
          <w:color w:val="000000" w:themeColor="text1"/>
          <w14:textFill>
            <w14:solidFill>
              <w14:schemeClr w14:val="tx1"/>
            </w14:solidFill>
          </w14:textFill>
        </w:rPr>
      </w:pPr>
    </w:p>
    <w:p w14:paraId="6BF1FEC7">
      <w:pPr>
        <w:rPr>
          <w:color w:val="000000" w:themeColor="text1"/>
          <w14:textFill>
            <w14:solidFill>
              <w14:schemeClr w14:val="tx1"/>
            </w14:solidFill>
          </w14:textFill>
        </w:rPr>
      </w:pPr>
    </w:p>
    <w:p w14:paraId="414827A3">
      <w:pPr>
        <w:rPr>
          <w:color w:val="000000" w:themeColor="text1"/>
          <w14:textFill>
            <w14:solidFill>
              <w14:schemeClr w14:val="tx1"/>
            </w14:solidFill>
          </w14:textFill>
        </w:rPr>
      </w:pPr>
    </w:p>
    <w:p w14:paraId="315D3C28">
      <w:pPr>
        <w:rPr>
          <w:color w:val="000000" w:themeColor="text1"/>
          <w14:textFill>
            <w14:solidFill>
              <w14:schemeClr w14:val="tx1"/>
            </w14:solidFill>
          </w14:textFill>
        </w:rPr>
      </w:pPr>
    </w:p>
    <w:p w14:paraId="428E88F3">
      <w:pPr>
        <w:rPr>
          <w:color w:val="000000" w:themeColor="text1"/>
          <w14:textFill>
            <w14:solidFill>
              <w14:schemeClr w14:val="tx1"/>
            </w14:solidFill>
          </w14:textFill>
        </w:rPr>
      </w:pPr>
    </w:p>
    <w:p w14:paraId="529D14D2">
      <w:pPr>
        <w:rPr>
          <w:color w:val="000000" w:themeColor="text1"/>
          <w14:textFill>
            <w14:solidFill>
              <w14:schemeClr w14:val="tx1"/>
            </w14:solidFill>
          </w14:textFill>
        </w:rPr>
      </w:pPr>
    </w:p>
    <w:p w14:paraId="240B7BCF">
      <w:pPr>
        <w:rPr>
          <w:color w:val="000000" w:themeColor="text1"/>
          <w14:textFill>
            <w14:solidFill>
              <w14:schemeClr w14:val="tx1"/>
            </w14:solidFill>
          </w14:textFill>
        </w:rPr>
      </w:pPr>
    </w:p>
    <w:p w14:paraId="2355C849">
      <w:pPr>
        <w:rPr>
          <w:color w:val="000000" w:themeColor="text1"/>
          <w14:textFill>
            <w14:solidFill>
              <w14:schemeClr w14:val="tx1"/>
            </w14:solidFill>
          </w14:textFill>
        </w:rPr>
      </w:pPr>
    </w:p>
    <w:p w14:paraId="0E52116E">
      <w:pPr>
        <w:rPr>
          <w:color w:val="000000" w:themeColor="text1"/>
          <w14:textFill>
            <w14:solidFill>
              <w14:schemeClr w14:val="tx1"/>
            </w14:solidFill>
          </w14:textFill>
        </w:rPr>
      </w:pPr>
    </w:p>
    <w:p w14:paraId="5E71162C">
      <w:pPr>
        <w:rPr>
          <w:color w:val="000000" w:themeColor="text1"/>
          <w14:textFill>
            <w14:solidFill>
              <w14:schemeClr w14:val="tx1"/>
            </w14:solidFill>
          </w14:textFill>
        </w:rPr>
      </w:pPr>
    </w:p>
    <w:p w14:paraId="5EDFB7B3">
      <w:pPr>
        <w:rPr>
          <w:color w:val="000000" w:themeColor="text1"/>
          <w14:textFill>
            <w14:solidFill>
              <w14:schemeClr w14:val="tx1"/>
            </w14:solidFill>
          </w14:textFill>
        </w:rPr>
      </w:pPr>
    </w:p>
    <w:p w14:paraId="4A4C9075">
      <w:pPr>
        <w:rPr>
          <w:color w:val="000000" w:themeColor="text1"/>
          <w14:textFill>
            <w14:solidFill>
              <w14:schemeClr w14:val="tx1"/>
            </w14:solidFill>
          </w14:textFill>
        </w:rPr>
      </w:pPr>
    </w:p>
    <w:p w14:paraId="784A4899">
      <w:pPr>
        <w:rPr>
          <w:color w:val="000000" w:themeColor="text1"/>
          <w14:textFill>
            <w14:solidFill>
              <w14:schemeClr w14:val="tx1"/>
            </w14:solidFill>
          </w14:textFill>
        </w:rPr>
      </w:pPr>
    </w:p>
    <w:p w14:paraId="77FFC1AC">
      <w:pPr>
        <w:rPr>
          <w:color w:val="000000" w:themeColor="text1"/>
          <w14:textFill>
            <w14:solidFill>
              <w14:schemeClr w14:val="tx1"/>
            </w14:solidFill>
          </w14:textFill>
        </w:rPr>
      </w:pPr>
    </w:p>
    <w:p w14:paraId="188E5A8F">
      <w:pPr>
        <w:rPr>
          <w:color w:val="000000" w:themeColor="text1"/>
          <w14:textFill>
            <w14:solidFill>
              <w14:schemeClr w14:val="tx1"/>
            </w14:solidFill>
          </w14:textFill>
        </w:rPr>
      </w:pPr>
    </w:p>
    <w:p w14:paraId="380DA58C">
      <w:pPr>
        <w:rPr>
          <w:color w:val="000000" w:themeColor="text1"/>
          <w14:textFill>
            <w14:solidFill>
              <w14:schemeClr w14:val="tx1"/>
            </w14:solidFill>
          </w14:textFill>
        </w:rPr>
      </w:pPr>
    </w:p>
    <w:p w14:paraId="10BF6B98">
      <w:pPr>
        <w:rPr>
          <w:color w:val="000000" w:themeColor="text1"/>
          <w14:textFill>
            <w14:solidFill>
              <w14:schemeClr w14:val="tx1"/>
            </w14:solidFill>
          </w14:textFill>
        </w:rPr>
      </w:pPr>
    </w:p>
    <w:p w14:paraId="5862ABBC">
      <w:pPr>
        <w:rPr>
          <w:color w:val="000000" w:themeColor="text1"/>
          <w14:textFill>
            <w14:solidFill>
              <w14:schemeClr w14:val="tx1"/>
            </w14:solidFill>
          </w14:textFill>
        </w:rPr>
      </w:pPr>
    </w:p>
    <w:p w14:paraId="360CA6A9">
      <w:pPr>
        <w:rPr>
          <w:color w:val="000000" w:themeColor="text1"/>
          <w14:textFill>
            <w14:solidFill>
              <w14:schemeClr w14:val="tx1"/>
            </w14:solidFill>
          </w14:textFill>
        </w:rPr>
      </w:pPr>
    </w:p>
    <w:p w14:paraId="487FDDEE">
      <w:pPr>
        <w:rPr>
          <w:color w:val="000000" w:themeColor="text1"/>
          <w14:textFill>
            <w14:solidFill>
              <w14:schemeClr w14:val="tx1"/>
            </w14:solidFill>
          </w14:textFill>
        </w:rPr>
      </w:pPr>
    </w:p>
    <w:p w14:paraId="63B5EED1">
      <w:pPr>
        <w:rPr>
          <w:color w:val="000000" w:themeColor="text1"/>
          <w14:textFill>
            <w14:solidFill>
              <w14:schemeClr w14:val="tx1"/>
            </w14:solidFill>
          </w14:textFill>
        </w:rPr>
      </w:pPr>
    </w:p>
    <w:p w14:paraId="28978FA9">
      <w:pPr>
        <w:rPr>
          <w:color w:val="000000" w:themeColor="text1"/>
          <w14:textFill>
            <w14:solidFill>
              <w14:schemeClr w14:val="tx1"/>
            </w14:solidFill>
          </w14:textFill>
        </w:rPr>
      </w:pPr>
    </w:p>
    <w:p w14:paraId="617703A3">
      <w:pPr>
        <w:rPr>
          <w:color w:val="000000" w:themeColor="text1"/>
          <w14:textFill>
            <w14:solidFill>
              <w14:schemeClr w14:val="tx1"/>
            </w14:solidFill>
          </w14:textFill>
        </w:rPr>
      </w:pPr>
    </w:p>
    <w:p w14:paraId="02DDD902">
      <w:pPr>
        <w:rPr>
          <w:color w:val="000000" w:themeColor="text1"/>
          <w14:textFill>
            <w14:solidFill>
              <w14:schemeClr w14:val="tx1"/>
            </w14:solidFill>
          </w14:textFill>
        </w:rPr>
      </w:pPr>
    </w:p>
    <w:p w14:paraId="34A38FE3">
      <w:pPr>
        <w:rPr>
          <w:color w:val="000000" w:themeColor="text1"/>
          <w14:textFill>
            <w14:solidFill>
              <w14:schemeClr w14:val="tx1"/>
            </w14:solidFill>
          </w14:textFill>
        </w:rPr>
      </w:pPr>
    </w:p>
    <w:p w14:paraId="7BC7FC2B">
      <w:pPr>
        <w:rPr>
          <w:color w:val="000000" w:themeColor="text1"/>
          <w14:textFill>
            <w14:solidFill>
              <w14:schemeClr w14:val="tx1"/>
            </w14:solidFill>
          </w14:textFill>
        </w:rPr>
      </w:pPr>
    </w:p>
    <w:p w14:paraId="6A1004B4">
      <w:pPr>
        <w:rPr>
          <w:color w:val="000000" w:themeColor="text1"/>
          <w14:textFill>
            <w14:solidFill>
              <w14:schemeClr w14:val="tx1"/>
            </w14:solidFill>
          </w14:textFill>
        </w:rPr>
      </w:pPr>
    </w:p>
    <w:p w14:paraId="7567052A">
      <w:pPr>
        <w:rPr>
          <w:color w:val="000000" w:themeColor="text1"/>
          <w14:textFill>
            <w14:solidFill>
              <w14:schemeClr w14:val="tx1"/>
            </w14:solidFill>
          </w14:textFill>
        </w:rPr>
      </w:pPr>
    </w:p>
    <w:p w14:paraId="7D3D64FB">
      <w:pPr>
        <w:rPr>
          <w:color w:val="000000" w:themeColor="text1"/>
          <w14:textFill>
            <w14:solidFill>
              <w14:schemeClr w14:val="tx1"/>
            </w14:solidFill>
          </w14:textFill>
        </w:rPr>
      </w:pPr>
    </w:p>
    <w:p w14:paraId="257BE05D">
      <w:pPr>
        <w:rPr>
          <w:color w:val="000000" w:themeColor="text1"/>
          <w14:textFill>
            <w14:solidFill>
              <w14:schemeClr w14:val="tx1"/>
            </w14:solidFill>
          </w14:textFill>
        </w:rPr>
      </w:pPr>
    </w:p>
    <w:p w14:paraId="61EFD811">
      <w:pPr>
        <w:tabs>
          <w:tab w:val="left" w:pos="851"/>
        </w:tabs>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В целях приведения муниципального нормативного правового акта в соответствие с действующим законодательством, на основании протеста прокурора Оренбургского района от 20.02.2026 № 07-01-2026/48, руководствуясь Федеральными </w:t>
      </w:r>
      <w:r>
        <w:fldChar w:fldCharType="begin"/>
      </w:r>
      <w:r>
        <w:instrText xml:space="preserve"> HYPERLINK "consultantplus://offline/ref=7DDDF8504A8C991D6DC062AEBE1543CC2CF7776F3762347E592B209D7894710E559B68D26C2774AD314985836975927B260E8F776387C20Aj6Y5O" </w:instrText>
      </w:r>
      <w:r>
        <w:fldChar w:fldCharType="separate"/>
      </w:r>
      <w:r>
        <w:rPr>
          <w:rFonts w:ascii="Times New Roman" w:hAnsi="Times New Roman" w:cs="Times New Roman"/>
          <w:color w:val="000000" w:themeColor="text1"/>
          <w:sz w:val="28"/>
          <w:szCs w:val="28"/>
          <w14:textFill>
            <w14:solidFill>
              <w14:schemeClr w14:val="tx1"/>
            </w14:solidFill>
          </w14:textFill>
        </w:rPr>
        <w:t>закон</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городского наземного электрического транспорта», от 31.07.2020 248-ФЗ «О государственном контроле (надзоре) и муниципальном контроле  в Российской Федерации», от 28.12.2024 № 540-ФЗ О внесении изменений в Федеральный закон «О государственном контроле (надзоре) и муниципальном контроле в Российской Федерации» и Уставом муниципального образования Ленинский сельсовет Оренбургского района Оренбургской области, Совет депутатов р е ш и л:</w:t>
      </w:r>
    </w:p>
    <w:p w14:paraId="00D65A15">
      <w:pPr>
        <w:tabs>
          <w:tab w:val="left" w:pos="851"/>
          <w:tab w:val="left" w:pos="1134"/>
        </w:tabs>
        <w:ind w:firstLine="709"/>
        <w:jc w:val="both"/>
        <w:rPr>
          <w:rFonts w:ascii="Times New Roman" w:hAnsi="Times New Roman" w:cs="Times New Roman"/>
          <w:color w:val="000000" w:themeColor="text1"/>
          <w:sz w:val="28"/>
          <w:szCs w:val="28"/>
          <w:lang w:eastAsia="zh-CN"/>
          <w14:textFill>
            <w14:solidFill>
              <w14:schemeClr w14:val="tx1"/>
            </w14:solidFill>
          </w14:textFill>
        </w:rPr>
      </w:pPr>
    </w:p>
    <w:p w14:paraId="6DE62579">
      <w:pPr>
        <w:tabs>
          <w:tab w:val="left" w:pos="851"/>
        </w:tabs>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Внести в Положение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Ленинский сельсовет Оренбургского район Оренбургской области следующие изменения:</w:t>
      </w:r>
    </w:p>
    <w:p w14:paraId="0327D3BA">
      <w:pPr>
        <w:tabs>
          <w:tab w:val="left" w:pos="851"/>
        </w:tabs>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1.1 Пункт 1.4 раздела 1 «Общие положения» дополнить абзацем следующего содержания:</w:t>
      </w:r>
    </w:p>
    <w:p w14:paraId="05F8A7D8">
      <w:pPr>
        <w:tabs>
          <w:tab w:val="left" w:pos="851"/>
        </w:tabs>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«Для целей осуществления муниципального контроля, проведения профилактических мероприятий и взаимодействия с контролируемыми лицами Контрольным органом используется в том числе мобильное приложение «Инспектор» - программное обеспечение, разработанное на базе государственной информационной системы, применяемое инспекторами и контролируемыми лицами с использованием компьютеров, смартфонов или планшетов в случаях и порядке, предусмотренных Федеральным законом № 248-ФЗ и настоящим Положением».</w:t>
      </w:r>
    </w:p>
    <w:p w14:paraId="2CAF3353">
      <w:pPr>
        <w:tabs>
          <w:tab w:val="left" w:pos="851"/>
        </w:tabs>
        <w:ind w:firstLine="709"/>
        <w:jc w:val="both"/>
        <w:rPr>
          <w:rFonts w:ascii="Times New Roman" w:hAnsi="Times New Roman" w:cs="Times New Roman"/>
          <w:color w:val="000000" w:themeColor="text1"/>
          <w:sz w:val="28"/>
          <w:szCs w:val="28"/>
          <w14:textFill>
            <w14:solidFill>
              <w14:schemeClr w14:val="tx1"/>
            </w14:solidFill>
          </w14:textFill>
        </w:rPr>
      </w:pPr>
    </w:p>
    <w:p w14:paraId="6F009D55">
      <w:pPr>
        <w:tabs>
          <w:tab w:val="left" w:pos="851"/>
        </w:tabs>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1.2. Раздел 2 «Категории риска причинения вреда (ущерба)» изложить в следующей редакции:</w:t>
      </w:r>
    </w:p>
    <w:p w14:paraId="4C7D5103">
      <w:pPr>
        <w:tabs>
          <w:tab w:val="left" w:pos="851"/>
        </w:tabs>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Управление рисками при осуществлении муниципального контроля.</w:t>
      </w:r>
    </w:p>
    <w:p w14:paraId="431A0567">
      <w:pPr>
        <w:tabs>
          <w:tab w:val="left" w:pos="851"/>
        </w:tabs>
        <w:ind w:firstLine="709"/>
        <w:jc w:val="both"/>
        <w:rPr>
          <w:rFonts w:ascii="Times New Roman" w:hAnsi="Times New Roman" w:cs="Times New Roman"/>
          <w:color w:val="000000" w:themeColor="text1"/>
          <w:sz w:val="28"/>
          <w:szCs w:val="28"/>
          <w:shd w:val="clear" w:color="auto" w:fill="FFFFFF"/>
          <w14:textFill>
            <w14:solidFill>
              <w14:schemeClr w14:val="tx1"/>
            </w14:solidFill>
          </w14:textFill>
        </w:rPr>
      </w:pPr>
      <w:r>
        <w:rPr>
          <w:rFonts w:ascii="Times New Roman" w:hAnsi="Times New Roman" w:cs="Times New Roman"/>
          <w:color w:val="000000" w:themeColor="text1"/>
          <w:sz w:val="28"/>
          <w:szCs w:val="28"/>
          <w:shd w:val="clear" w:color="auto" w:fill="FFFFFF"/>
          <w14:textFill>
            <w14:solidFill>
              <w14:schemeClr w14:val="tx1"/>
            </w14:solidFill>
          </w14:textFill>
        </w:rPr>
        <w:t xml:space="preserve">2.1 В случаях, установленных Федеральным законом </w:t>
      </w:r>
      <w:r>
        <w:rPr>
          <w:rFonts w:ascii="Times New Roman" w:hAnsi="Times New Roman" w:cs="Times New Roman"/>
          <w:color w:val="000000" w:themeColor="text1"/>
          <w:sz w:val="28"/>
          <w:szCs w:val="28"/>
          <w14:textFill>
            <w14:solidFill>
              <w14:schemeClr w14:val="tx1"/>
            </w14:solidFill>
          </w14:textFill>
        </w:rPr>
        <w:t>от 31.07.2020 № 248-ФЗ «О государственном контроле (надзоре) и муниципальном контроле в Российской Федерации»</w:t>
      </w:r>
      <w:r>
        <w:rPr>
          <w:rFonts w:ascii="Times New Roman" w:hAnsi="Times New Roman" w:cs="Times New Roman"/>
          <w:color w:val="000000" w:themeColor="text1"/>
          <w:sz w:val="28"/>
          <w:szCs w:val="28"/>
          <w:shd w:val="clear" w:color="auto" w:fill="FFFFFF"/>
          <w14:textFill>
            <w14:solidFill>
              <w14:schemeClr w14:val="tx1"/>
            </w14:solidFill>
          </w14:textFill>
        </w:rPr>
        <w:t>, в целях организации и проведения внеплановых контрольных (надзорных) мероприятий может учитываться категория риска объекта контроля.</w:t>
      </w:r>
    </w:p>
    <w:p w14:paraId="6AEFD268">
      <w:pPr>
        <w:tabs>
          <w:tab w:val="left" w:pos="851"/>
        </w:tabs>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shd w:val="clear" w:color="auto" w:fill="FFFFFF"/>
          <w14:textFill>
            <w14:solidFill>
              <w14:schemeClr w14:val="tx1"/>
            </w14:solidFill>
          </w14:textFill>
        </w:rPr>
        <w:t>2.2.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69D4C1FA">
      <w:pPr>
        <w:pStyle w:val="14"/>
        <w:tabs>
          <w:tab w:val="left" w:pos="851"/>
        </w:tabs>
        <w:spacing w:before="0" w:beforeAutospacing="0" w:after="0" w:afterAutospacing="0"/>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2.3.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w:t>
      </w:r>
      <w:r>
        <w:rPr>
          <w:rStyle w:val="36"/>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пунктами 1,</w:t>
      </w:r>
      <w:r>
        <w:rPr>
          <w:rStyle w:val="36"/>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3</w:t>
      </w:r>
      <w:r>
        <w:rPr>
          <w:rStyle w:val="36"/>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w:t>
      </w:r>
      <w:r>
        <w:rPr>
          <w:rStyle w:val="36"/>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9 части 1</w:t>
      </w:r>
      <w:r>
        <w:rPr>
          <w:rStyle w:val="36"/>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и</w:t>
      </w:r>
      <w:r>
        <w:rPr>
          <w:rStyle w:val="36"/>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частью 3 статьи 57</w:t>
      </w:r>
      <w:r>
        <w:rPr>
          <w:rStyle w:val="36"/>
          <w:rFonts w:eastAsiaTheme="major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Федерального закона № 248.</w:t>
      </w:r>
    </w:p>
    <w:p w14:paraId="184ECEAA">
      <w:pPr>
        <w:tabs>
          <w:tab w:val="left" w:pos="851"/>
        </w:tabs>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2.4.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60DBF3DB">
      <w:pPr>
        <w:tabs>
          <w:tab w:val="left" w:pos="851"/>
        </w:tabs>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2.5. Для целей управления рисками объекты контроля относятся к одной из следующих категорий риска:</w:t>
      </w:r>
    </w:p>
    <w:p w14:paraId="44F47FBE">
      <w:pPr>
        <w:tabs>
          <w:tab w:val="left" w:pos="851"/>
        </w:tabs>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высокий риск;</w:t>
      </w:r>
    </w:p>
    <w:p w14:paraId="1DA77842">
      <w:pPr>
        <w:tabs>
          <w:tab w:val="left" w:pos="851"/>
        </w:tabs>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средний риск;</w:t>
      </w:r>
    </w:p>
    <w:p w14:paraId="51006209">
      <w:pPr>
        <w:tabs>
          <w:tab w:val="left" w:pos="851"/>
        </w:tabs>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низкий риск.</w:t>
      </w:r>
    </w:p>
    <w:p w14:paraId="5654EE14">
      <w:pPr>
        <w:tabs>
          <w:tab w:val="left" w:pos="851"/>
        </w:tabs>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shd w:val="clear" w:color="auto" w:fill="FFFFFF"/>
          <w14:textFill>
            <w14:solidFill>
              <w14:schemeClr w14:val="tx1"/>
            </w14:solidFill>
          </w14:textFill>
        </w:rPr>
        <w:t>2.6. Отнесение объекта контроля к одной из категорий риска осуществляется контрольным (надзорным) органом ежегодно на основе сопоставления его характеристик с утвержденными критериями риска.</w:t>
      </w:r>
      <w:r>
        <w:rPr>
          <w:rFonts w:ascii="Times New Roman" w:hAnsi="Times New Roman" w:cs="Times New Roman"/>
          <w:color w:val="000000" w:themeColor="text1"/>
          <w:sz w:val="28"/>
          <w:szCs w:val="28"/>
          <w14:textFill>
            <w14:solidFill>
              <w14:schemeClr w14:val="tx1"/>
            </w14:solidFill>
          </w14:textFill>
        </w:rPr>
        <w:t xml:space="preserve"> При отсутствии решения об отнесении объекта к категории риска, он считается отнесенным к категории низкого риска.</w:t>
      </w:r>
    </w:p>
    <w:p w14:paraId="43A1F0FF">
      <w:pPr>
        <w:tabs>
          <w:tab w:val="left" w:pos="851"/>
        </w:tabs>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2.7. </w:t>
      </w:r>
      <w:r>
        <w:rPr>
          <w:rFonts w:ascii="Times New Roman" w:hAnsi="Times New Roman" w:cs="Times New Roman"/>
          <w:color w:val="000000" w:themeColor="text1"/>
          <w:sz w:val="28"/>
          <w:szCs w:val="28"/>
          <w:lang w:bidi="ru-RU"/>
          <w14:textFill>
            <w14:solidFill>
              <w14:schemeClr w14:val="tx1"/>
            </w14:solidFill>
          </w14:textFill>
        </w:rPr>
        <w:t xml:space="preserve">В соответствии с частью 9 статьи 23 Федерального закона от 31 июля 2020 № 248-ФЗ </w:t>
      </w:r>
      <w:r>
        <w:rPr>
          <w:rStyle w:val="36"/>
          <w:rFonts w:ascii="Times New Roman" w:hAnsi="Times New Roman" w:cs="Times New Roman"/>
          <w:color w:val="000000" w:themeColor="text1"/>
          <w:sz w:val="28"/>
          <w:szCs w:val="28"/>
          <w:shd w:val="clear" w:color="auto" w:fill="FFFFFF"/>
          <w14:textFill>
            <w14:solidFill>
              <w14:schemeClr w14:val="tx1"/>
            </w14:solidFill>
          </w14:textFill>
        </w:rPr>
        <w:t xml:space="preserve">в </w:t>
      </w:r>
      <w:r>
        <w:rPr>
          <w:rFonts w:ascii="Times New Roman" w:hAnsi="Times New Roman" w:cs="Times New Roman"/>
          <w:color w:val="000000" w:themeColor="text1"/>
          <w:sz w:val="28"/>
          <w:szCs w:val="28"/>
          <w:shd w:val="clear" w:color="auto" w:fill="FFFFFF"/>
          <w14:textFill>
            <w14:solidFill>
              <w14:schemeClr w14:val="tx1"/>
            </w14:solidFill>
          </w14:textFill>
        </w:rPr>
        <w:t>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7F7DEC0D">
      <w:pPr>
        <w:pStyle w:val="35"/>
        <w:shd w:val="clear" w:color="auto" w:fill="auto"/>
        <w:tabs>
          <w:tab w:val="left" w:pos="851"/>
        </w:tabs>
        <w:spacing w:after="0" w:line="240" w:lineRule="auto"/>
        <w:ind w:firstLine="709"/>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2.8. </w:t>
      </w:r>
      <w:r>
        <w:rPr>
          <w:rFonts w:ascii="Times New Roman" w:hAnsi="Times New Roman" w:eastAsia="Times New Roman" w:cs="Times New Roman"/>
          <w:color w:val="000000" w:themeColor="text1"/>
          <w14:textFill>
            <w14:solidFill>
              <w14:schemeClr w14:val="tx1"/>
            </w14:solidFill>
          </w14:textFill>
        </w:rPr>
        <w:t>В соответствии с частью 7 статьи 23 Федерального закона № 248-ФЗ при формировании и актуализации индикаторов риска учитываются:</w:t>
      </w:r>
    </w:p>
    <w:p w14:paraId="5E847629">
      <w:pPr>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отсутствие нарушений обязательных требований, выявленных по результатам проведения обязательных профилактических визитов или контрольных мероприятий в течение последних двух лет;</w:t>
      </w:r>
    </w:p>
    <w:p w14:paraId="1E09AD3C">
      <w:pPr>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наличие определенного публичной оценкой уровня соблюдения обязательных требований (в случае ее проведения)».</w:t>
      </w:r>
    </w:p>
    <w:p w14:paraId="18439261">
      <w:pPr>
        <w:ind w:firstLine="709"/>
        <w:jc w:val="both"/>
        <w:rPr>
          <w:rFonts w:ascii="Times New Roman" w:hAnsi="Times New Roman" w:cs="Times New Roman"/>
          <w:color w:val="000000" w:themeColor="text1"/>
          <w:sz w:val="28"/>
          <w:szCs w:val="28"/>
          <w14:textFill>
            <w14:solidFill>
              <w14:schemeClr w14:val="tx1"/>
            </w14:solidFill>
          </w14:textFill>
        </w:rPr>
      </w:pPr>
    </w:p>
    <w:p w14:paraId="7EB01E9E">
      <w:pPr>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1.3. Пункт 3.3.2 подраздела 3.3 «Консультирование» дополнить подпунктом 3 следующего содержания:</w:t>
      </w:r>
    </w:p>
    <w:p w14:paraId="06ACE0C3">
      <w:pPr>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посредством видео-конференц-связи с использованием мобильного приложения «Инспектор»».</w:t>
      </w:r>
    </w:p>
    <w:p w14:paraId="42EC4A0F">
      <w:pPr>
        <w:ind w:firstLine="709"/>
        <w:jc w:val="both"/>
        <w:rPr>
          <w:rFonts w:ascii="Times New Roman" w:hAnsi="Times New Roman" w:cs="Times New Roman"/>
          <w:color w:val="000000" w:themeColor="text1"/>
          <w:sz w:val="28"/>
          <w:szCs w:val="28"/>
          <w14:textFill>
            <w14:solidFill>
              <w14:schemeClr w14:val="tx1"/>
            </w14:solidFill>
          </w14:textFill>
        </w:rPr>
      </w:pPr>
    </w:p>
    <w:p w14:paraId="1CC9AE93">
      <w:pPr>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1.4. Подраздел 3.4 «Профилактический визит» изложить в следующей редакции:</w:t>
      </w:r>
    </w:p>
    <w:p w14:paraId="6F9FB316">
      <w:pPr>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«3.4. Профилактический визит</w:t>
      </w:r>
    </w:p>
    <w:p w14:paraId="14B3F4E4">
      <w:pPr>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том числе через мобильное приложение «Инспектор»).</w:t>
      </w:r>
    </w:p>
    <w:p w14:paraId="13EF7D9F">
      <w:pPr>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3.4.2. Профилактический визит проводится по инициативе Контрольного органа (обязательный профилактический визит) либо по инициативе контролируемого лица.</w:t>
      </w:r>
    </w:p>
    <w:p w14:paraId="2435A898">
      <w:pPr>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3.4.3. О проведении обязательного профилактического визита контролируемое лицо уведомляется Контрольным органом не позднее чем за 24 часа до даты его проведения. Уведомление направляется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иным способом, обеспечивающим фиксацию уведомления.</w:t>
      </w:r>
    </w:p>
    <w:p w14:paraId="67459360">
      <w:pPr>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3.4.4. Контролируемое лицо вправе обратиться в Контрольный орган с заявлением о проведении профилактического визита. Контрольный орган рассматривает заявление в течение 10 рабочих дней и принимает решение о проведении визита либо об отказе (с указанием причин).</w:t>
      </w:r>
    </w:p>
    <w:p w14:paraId="2169D478">
      <w:pPr>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3.4.5. По итогам проведения профилактического визита (в том числе обязательного) инспектор вправе присвоить объекту контроля публичную оценку уровня соблюдения обязательных требований. Данная оценка учитывается при формировании перечня мероприятий по профилактике рисков.</w:t>
      </w:r>
    </w:p>
    <w:p w14:paraId="62C27232">
      <w:pPr>
        <w:ind w:firstLine="709"/>
        <w:jc w:val="both"/>
        <w:rPr>
          <w:rFonts w:ascii="Times New Roman" w:hAnsi="Times New Roman" w:cs="Times New Roman"/>
          <w:color w:val="000000" w:themeColor="text1"/>
          <w:sz w:val="28"/>
          <w:szCs w:val="28"/>
          <w14:textFill>
            <w14:solidFill>
              <w14:schemeClr w14:val="tx1"/>
            </w14:solidFill>
          </w14:textFill>
        </w:rPr>
      </w:pPr>
    </w:p>
    <w:p w14:paraId="3631375F">
      <w:pPr>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1.5. Пункт 4.1.3 подраздела 4.1 раздела 4 дополнить абзацем следующего содержания:</w:t>
      </w:r>
    </w:p>
    <w:p w14:paraId="5782D826">
      <w:pPr>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«Решение о проведении внепланового контрольного мероприятия принимается также в случае выявления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w:t>
      </w:r>
    </w:p>
    <w:p w14:paraId="045ED4E4">
      <w:pPr>
        <w:ind w:firstLine="709"/>
        <w:jc w:val="both"/>
        <w:rPr>
          <w:rFonts w:ascii="Times New Roman" w:hAnsi="Times New Roman" w:cs="Times New Roman"/>
          <w:color w:val="000000" w:themeColor="text1"/>
          <w:sz w:val="28"/>
          <w:szCs w:val="28"/>
          <w14:textFill>
            <w14:solidFill>
              <w14:schemeClr w14:val="tx1"/>
            </w14:solidFill>
          </w14:textFill>
        </w:rPr>
      </w:pPr>
    </w:p>
    <w:p w14:paraId="0C7BDF86">
      <w:pPr>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1.6. Подраздел 4.8 «Наблюдение за соблюдением обязательных требований (мониторинг безопасности)» дополнить пунктом 4.8.3 следующего содержания:</w:t>
      </w:r>
    </w:p>
    <w:p w14:paraId="68FBCEC7">
      <w:pPr>
        <w:ind w:firstLine="709"/>
        <w:jc w:val="both"/>
        <w:rPr>
          <w:sz w:val="28"/>
          <w:szCs w:val="28"/>
          <w:lang w:val="en-US"/>
        </w:rPr>
      </w:pPr>
      <w:r>
        <w:rPr>
          <w:rFonts w:ascii="Times New Roman" w:hAnsi="Times New Roman" w:cs="Times New Roman"/>
          <w:color w:val="000000" w:themeColor="text1"/>
          <w:sz w:val="28"/>
          <w:szCs w:val="28"/>
          <w14:textFill>
            <w14:solidFill>
              <w14:schemeClr w14:val="tx1"/>
            </w14:solidFill>
          </w14:textFill>
        </w:rPr>
        <w:t xml:space="preserve">«4.8.3. В ходе мониторинга безопасности инспекторы вправе использовать данные, полученные с использованием работающих в автоматическом режиме технических средств фиксации правонарушений, имеющих функции фото- и киносъемки, видеозаписи, </w:t>
      </w:r>
      <w:r>
        <w:rPr>
          <w:rFonts w:ascii="Times New Roman" w:hAnsi="Times New Roman" w:cs="Times New Roman"/>
          <w:sz w:val="28"/>
          <w:szCs w:val="28"/>
        </w:rPr>
        <w:t>в том числе беспилотных аппаратов (систем)</w:t>
      </w:r>
      <w:r>
        <w:rPr>
          <w:rFonts w:ascii="Times New Roman" w:hAnsi="Times New Roman" w:cs="Times New Roman"/>
          <w:color w:val="000000" w:themeColor="text1"/>
          <w:sz w:val="28"/>
          <w:szCs w:val="28"/>
          <w14:textFill>
            <w14:solidFill>
              <w14:schemeClr w14:val="tx1"/>
            </w14:solidFill>
          </w14:textFill>
        </w:rPr>
        <w:t>».</w:t>
      </w:r>
    </w:p>
    <w:p w14:paraId="3804A4D0">
      <w:pPr>
        <w:ind w:firstLine="709"/>
        <w:jc w:val="both"/>
        <w:rPr>
          <w:rFonts w:ascii="Times New Roman" w:hAnsi="Times New Roman" w:cs="Times New Roman"/>
          <w:color w:val="000000" w:themeColor="text1"/>
          <w:sz w:val="28"/>
          <w:szCs w:val="28"/>
          <w14:textFill>
            <w14:solidFill>
              <w14:schemeClr w14:val="tx1"/>
            </w14:solidFill>
          </w14:textFill>
        </w:rPr>
      </w:pPr>
    </w:p>
    <w:p w14:paraId="6EE0C99C">
      <w:pPr>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1.7. В подразделе 5.15 раздела 5 «Досудебное обжалование» слова «в течение 20 рабочих дней» заменить словами «в течение 15 рабочих дней».</w:t>
      </w:r>
    </w:p>
    <w:p w14:paraId="71D2220B">
      <w:pPr>
        <w:ind w:firstLine="709"/>
        <w:jc w:val="both"/>
        <w:rPr>
          <w:rFonts w:ascii="Times New Roman" w:hAnsi="Times New Roman" w:cs="Times New Roman"/>
          <w:color w:val="000000" w:themeColor="text1"/>
          <w:sz w:val="28"/>
          <w:szCs w:val="28"/>
          <w14:textFill>
            <w14:solidFill>
              <w14:schemeClr w14:val="tx1"/>
            </w14:solidFill>
          </w14:textFill>
        </w:rPr>
      </w:pPr>
    </w:p>
    <w:p w14:paraId="3DE5469E">
      <w:pPr>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1.8. Приложение 2 к Положению «Перечень индикаторов риска...» изложить в следующей редакции:</w:t>
      </w:r>
    </w:p>
    <w:p w14:paraId="265DCC75">
      <w:pPr>
        <w:autoSpaceDE w:val="0"/>
        <w:autoSpaceDN w:val="0"/>
        <w:adjustRightInd w:val="0"/>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Поступление в орган муниципального контроля информации, которая с высокой степенью вероятности свидетельствует о наличии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 к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а также риска причинения вреда (ущерба) охраняемым законом ценностям,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из сведений, содержащихся в информационных ресурсах.</w:t>
      </w:r>
    </w:p>
    <w:p w14:paraId="32395D05">
      <w:pPr>
        <w:autoSpaceDE w:val="0"/>
        <w:autoSpaceDN w:val="0"/>
        <w:adjustRightInd w:val="0"/>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Наличие сведений об истечении срока действия, либо о нарушении технических требований и условий, подлежащих обязательному исполнению, при строительстве,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а также при установке рекламных конструкций, информационных щитов и указателей.</w:t>
      </w:r>
    </w:p>
    <w:p w14:paraId="6733C566">
      <w:pPr>
        <w:autoSpaceDE w:val="0"/>
        <w:autoSpaceDN w:val="0"/>
        <w:adjustRightInd w:val="0"/>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Наличие сведений об истечении срока действия, либо о нарушении технических требований и условий, подлежащих обязательному исполнению, при строительстве, реконструкции, капитальном ремонте объектов дорожного сервиса или реконструкции, капитальном ремонте и ремонте примыканий объектов дорожного сервиса к автомобильным дорогам.</w:t>
      </w:r>
    </w:p>
    <w:p w14:paraId="4F27A5D7">
      <w:pPr>
        <w:autoSpaceDE w:val="0"/>
        <w:autoSpaceDN w:val="0"/>
        <w:adjustRightInd w:val="0"/>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Наличие сведений об истечении срока действия, либо о нарушении технических требований и условий, подлежащих обязательному исполнению, при строительстве реконструкции, капитальном ремонте, ремонте пересечений и примыканий автомобильных дорог.</w:t>
      </w:r>
    </w:p>
    <w:p w14:paraId="47ABF037">
      <w:pPr>
        <w:autoSpaceDE w:val="0"/>
        <w:autoSpaceDN w:val="0"/>
        <w:adjustRightInd w:val="0"/>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 Наличие сведений об истечении срока действия, либо о нарушении технических требований и условий, подлежащих обязательному исполнению, при прокладке, переустройстве, переносе инженерных коммуникаций, их эксплуатации в границах полос отвода и придорожных полос автомобильных дорог.</w:t>
      </w:r>
    </w:p>
    <w:p w14:paraId="634C7432">
      <w:pPr>
        <w:autoSpaceDE w:val="0"/>
        <w:autoSpaceDN w:val="0"/>
        <w:adjustRightInd w:val="0"/>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Наличие информации о вступлении в законную силу в течение трех календарных лет, предшествующих дате определения наличия индикатора риска, 3 и более решений (постановлений) о назначении административного наказания за правонарушения, предусмотренные статьями  12.31.1, 14.1, 14.1.2, части 1 и 15 статьи 19.5, 19.7, 19.33 Кодекса Российской Федерации об административных правонарушениях.</w:t>
      </w:r>
    </w:p>
    <w:p w14:paraId="151248B0">
      <w:pPr>
        <w:autoSpaceDE w:val="0"/>
        <w:autoSpaceDN w:val="0"/>
        <w:adjustRightInd w:val="0"/>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7. Сбор, обработка, анализ и учет сведений об объектах контроля в целях определения индикаторов риска нарушения обязательных требований осуществляется органом муниципального контроля без взаимодействия                   с контролируемыми лицами. </w:t>
      </w:r>
    </w:p>
    <w:p w14:paraId="5F52CCB2">
      <w:pPr>
        <w:autoSpaceDE w:val="0"/>
        <w:autoSpaceDN w:val="0"/>
        <w:adjustRightInd w:val="0"/>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 При выявлении индикаторов риска нарушения обязательных требований органом муниципального контроля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предоставление которой предусмотрено нормативными правовыми актами Российской Федерации,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5B3B6CB3">
      <w:pPr>
        <w:ind w:firstLine="709"/>
        <w:jc w:val="both"/>
        <w:rPr>
          <w:rFonts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Выявление признаков нарушений требований к сохранности автомобильных дорог местного значения возможно с использованием средств автоматической фото- и видеофиксации (включая материалы, полученные с беспилотных летательных аппаратов).»</w:t>
      </w:r>
    </w:p>
    <w:p w14:paraId="676B901C">
      <w:pPr>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Контроль за исполнением решения оставляю за собой.</w:t>
      </w:r>
    </w:p>
    <w:p w14:paraId="49A1DA0F">
      <w:pPr>
        <w:pStyle w:val="35"/>
        <w:shd w:val="clear" w:color="auto" w:fill="auto"/>
        <w:tabs>
          <w:tab w:val="left" w:pos="142"/>
        </w:tabs>
        <w:spacing w:after="0" w:line="240" w:lineRule="auto"/>
        <w:ind w:firstLine="709"/>
        <w:jc w:val="both"/>
        <w:rPr>
          <w:rFonts w:ascii="Times New Roman" w:hAnsi="Times New Roman" w:cs="Times New Roman"/>
          <w:color w:val="000000" w:themeColor="text1"/>
          <w:lang w:bidi="ru-RU"/>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lang w:bidi="ru-RU"/>
          <w14:textFill>
            <w14:solidFill>
              <w14:schemeClr w14:val="tx1"/>
            </w14:solidFill>
          </w14:textFill>
        </w:rPr>
        <w:t xml:space="preserve"> Настоящее решение вступает в силу после подписания и подлежит размещению в сети Интернет на официальном сайте администрации</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lang w:bidi="ru-RU"/>
          <w14:textFill>
            <w14:solidFill>
              <w14:schemeClr w14:val="tx1"/>
            </w14:solidFill>
          </w14:textFill>
        </w:rPr>
        <w:t>муниципального образования Ленинский сельсовет Оренбургского района</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lang w:bidi="ru-RU"/>
          <w14:textFill>
            <w14:solidFill>
              <w14:schemeClr w14:val="tx1"/>
            </w14:solidFill>
          </w14:textFill>
        </w:rPr>
        <w:t>Оренбургской области:</w:t>
      </w:r>
      <w:r>
        <w:rPr>
          <w:rFonts w:ascii="Times New Roman" w:hAnsi="Times New Roman" w:cs="Times New Roman"/>
          <w:color w:val="000000" w:themeColor="text1"/>
          <w:lang w:bidi="ru-RU"/>
          <w14:textFill>
            <w14:solidFill>
              <w14:schemeClr w14:val="tx1"/>
            </w14:solidFill>
          </w14:textFill>
        </w:rPr>
        <w:tab/>
      </w:r>
      <w:r>
        <w:rPr>
          <w:rFonts w:ascii="Times New Roman" w:hAnsi="Times New Roman" w:cs="Times New Roman"/>
          <w:color w:val="000000" w:themeColor="text1"/>
          <w:lang w:val="en-US" w:bidi="ru-RU"/>
          <w14:textFill>
            <w14:solidFill>
              <w14:schemeClr w14:val="tx1"/>
            </w14:solidFill>
          </w14:textFill>
        </w:rPr>
        <w:t>lenina</w:t>
      </w:r>
      <w:r>
        <w:rPr>
          <w:rFonts w:ascii="Times New Roman" w:hAnsi="Times New Roman" w:cs="Times New Roman"/>
          <w:color w:val="000000" w:themeColor="text1"/>
          <w:lang w:bidi="ru-RU"/>
          <w14:textFill>
            <w14:solidFill>
              <w14:schemeClr w14:val="tx1"/>
            </w14:solidFill>
          </w14:textFill>
        </w:rPr>
        <w:t>-56.</w:t>
      </w:r>
      <w:r>
        <w:rPr>
          <w:rFonts w:ascii="Times New Roman" w:hAnsi="Times New Roman" w:cs="Times New Roman"/>
          <w:color w:val="000000" w:themeColor="text1"/>
          <w:lang w:val="en-US" w:bidi="ru-RU"/>
          <w14:textFill>
            <w14:solidFill>
              <w14:schemeClr w14:val="tx1"/>
            </w14:solidFill>
          </w14:textFill>
        </w:rPr>
        <w:t>ru</w:t>
      </w:r>
      <w:r>
        <w:rPr>
          <w:rFonts w:ascii="Times New Roman" w:hAnsi="Times New Roman" w:cs="Times New Roman"/>
          <w:color w:val="000000" w:themeColor="text1"/>
          <w:lang w:bidi="ru-RU"/>
          <w14:textFill>
            <w14:solidFill>
              <w14:schemeClr w14:val="tx1"/>
            </w14:solidFill>
          </w14:textFill>
        </w:rPr>
        <w:t>.</w:t>
      </w:r>
    </w:p>
    <w:p w14:paraId="3A82DE3F">
      <w:pPr>
        <w:pStyle w:val="35"/>
        <w:shd w:val="clear" w:color="auto" w:fill="auto"/>
        <w:tabs>
          <w:tab w:val="left" w:pos="142"/>
        </w:tabs>
        <w:spacing w:after="0" w:line="240" w:lineRule="auto"/>
        <w:ind w:firstLine="709"/>
        <w:jc w:val="both"/>
        <w:rPr>
          <w:rFonts w:ascii="Times New Roman" w:hAnsi="Times New Roman" w:cs="Times New Roman"/>
          <w:color w:val="000000" w:themeColor="text1"/>
          <w:lang w:val="en-US"/>
          <w14:textFill>
            <w14:solidFill>
              <w14:schemeClr w14:val="tx1"/>
            </w14:solidFill>
          </w14:textFill>
        </w:rPr>
      </w:pPr>
    </w:p>
    <w:p w14:paraId="580850DA">
      <w:pPr>
        <w:pStyle w:val="35"/>
        <w:shd w:val="clear" w:color="auto" w:fill="auto"/>
        <w:tabs>
          <w:tab w:val="left" w:pos="142"/>
        </w:tabs>
        <w:spacing w:after="0" w:line="240" w:lineRule="auto"/>
        <w:ind w:firstLine="709"/>
        <w:jc w:val="both"/>
        <w:rPr>
          <w:rFonts w:ascii="Times New Roman" w:hAnsi="Times New Roman" w:cs="Times New Roman"/>
          <w:color w:val="000000" w:themeColor="text1"/>
          <w:lang w:val="en-US"/>
          <w14:textFill>
            <w14:solidFill>
              <w14:schemeClr w14:val="tx1"/>
            </w14:solidFill>
          </w14:textFill>
        </w:rPr>
      </w:pPr>
    </w:p>
    <w:p w14:paraId="311989E7">
      <w:pPr>
        <w:pStyle w:val="35"/>
        <w:shd w:val="clear" w:color="auto" w:fill="auto"/>
        <w:tabs>
          <w:tab w:val="left" w:pos="142"/>
        </w:tabs>
        <w:spacing w:after="0" w:line="240" w:lineRule="auto"/>
        <w:ind w:firstLine="709"/>
        <w:jc w:val="both"/>
        <w:rPr>
          <w:rFonts w:ascii="Times New Roman" w:hAnsi="Times New Roman" w:cs="Times New Roman"/>
          <w:color w:val="000000" w:themeColor="text1"/>
          <w:lang w:val="en-US"/>
          <w14:textFill>
            <w14:solidFill>
              <w14:schemeClr w14:val="tx1"/>
            </w14:solidFill>
          </w14:textFill>
        </w:rPr>
      </w:pPr>
    </w:p>
    <w:p w14:paraId="62CABFF6">
      <w:pPr>
        <w:autoSpaceDE w:val="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Глава муниципального образования –</w:t>
      </w:r>
    </w:p>
    <w:p w14:paraId="4E7B814C">
      <w:pPr>
        <w:autoSpaceDE w:val="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lang w:val="ru-RU"/>
          <w14:textFill>
            <w14:solidFill>
              <w14:schemeClr w14:val="tx1"/>
            </w14:solidFill>
          </w14:textFill>
        </w:rPr>
        <w:t>П</w:t>
      </w:r>
      <w:r>
        <w:rPr>
          <w:rFonts w:ascii="Times New Roman" w:hAnsi="Times New Roman" w:cs="Times New Roman"/>
          <w:color w:val="000000" w:themeColor="text1"/>
          <w:sz w:val="28"/>
          <w:szCs w:val="28"/>
          <w14:textFill>
            <w14:solidFill>
              <w14:schemeClr w14:val="tx1"/>
            </w14:solidFill>
          </w14:textFill>
        </w:rPr>
        <w:t>редседатель Совета депутатов                                                         А.Г.Табаков</w:t>
      </w:r>
    </w:p>
    <w:p w14:paraId="34C3DE89">
      <w:pPr>
        <w:rPr>
          <w:color w:val="000000" w:themeColor="text1"/>
          <w14:textFill>
            <w14:solidFill>
              <w14:schemeClr w14:val="tx1"/>
            </w14:solidFill>
          </w14:textFill>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0E"/>
    <w:rsid w:val="0015490E"/>
    <w:rsid w:val="002D5D9B"/>
    <w:rsid w:val="007A2011"/>
    <w:rsid w:val="0091764A"/>
    <w:rsid w:val="00A9164A"/>
    <w:rsid w:val="00DA318D"/>
    <w:rsid w:val="00FB6430"/>
    <w:rsid w:val="13A014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widowControl w:val="0"/>
    </w:pPr>
    <w:rPr>
      <w:rFonts w:ascii="Arial" w:hAnsi="Arial" w:eastAsia="Times New Roman" w:cs="Arial"/>
      <w:color w:val="000000"/>
      <w:kern w:val="0"/>
      <w:sz w:val="20"/>
      <w:szCs w:val="20"/>
      <w:lang w:val="ru-RU" w:eastAsia="ru-RU" w:bidi="ar-SA"/>
      <w14:ligatures w14:val="none"/>
    </w:rPr>
  </w:style>
  <w:style w:type="paragraph" w:styleId="2">
    <w:name w:val="heading 1"/>
    <w:basedOn w:val="1"/>
    <w:next w:val="1"/>
    <w:link w:val="16"/>
    <w:qFormat/>
    <w:uiPriority w:val="9"/>
    <w:pPr>
      <w:keepNext/>
      <w:keepLines/>
      <w:widowControl/>
      <w:spacing w:before="360" w:after="80"/>
      <w:outlineLvl w:val="0"/>
    </w:pPr>
    <w:rPr>
      <w:rFonts w:asciiTheme="majorHAnsi" w:hAnsiTheme="majorHAnsi" w:eastAsiaTheme="majorEastAsia" w:cstheme="majorBidi"/>
      <w:color w:val="2F5597" w:themeColor="accent1" w:themeShade="BF"/>
      <w:kern w:val="2"/>
      <w:sz w:val="40"/>
      <w:szCs w:val="40"/>
      <w:lang w:eastAsia="en-US"/>
      <w14:ligatures w14:val="standardContextual"/>
    </w:rPr>
  </w:style>
  <w:style w:type="paragraph" w:styleId="3">
    <w:name w:val="heading 2"/>
    <w:basedOn w:val="1"/>
    <w:next w:val="1"/>
    <w:link w:val="17"/>
    <w:semiHidden/>
    <w:unhideWhenUsed/>
    <w:qFormat/>
    <w:uiPriority w:val="9"/>
    <w:pPr>
      <w:keepNext/>
      <w:keepLines/>
      <w:widowControl/>
      <w:spacing w:before="160" w:after="80"/>
      <w:outlineLvl w:val="1"/>
    </w:pPr>
    <w:rPr>
      <w:rFonts w:asciiTheme="majorHAnsi" w:hAnsiTheme="majorHAnsi" w:eastAsiaTheme="majorEastAsia" w:cstheme="majorBidi"/>
      <w:color w:val="2F5597" w:themeColor="accent1" w:themeShade="BF"/>
      <w:kern w:val="2"/>
      <w:sz w:val="32"/>
      <w:szCs w:val="32"/>
      <w:lang w:eastAsia="en-US"/>
      <w14:ligatures w14:val="standardContextual"/>
    </w:rPr>
  </w:style>
  <w:style w:type="paragraph" w:styleId="4">
    <w:name w:val="heading 3"/>
    <w:basedOn w:val="1"/>
    <w:next w:val="1"/>
    <w:link w:val="18"/>
    <w:semiHidden/>
    <w:unhideWhenUsed/>
    <w:qFormat/>
    <w:uiPriority w:val="9"/>
    <w:pPr>
      <w:keepNext/>
      <w:keepLines/>
      <w:widowControl/>
      <w:spacing w:before="160" w:after="80"/>
      <w:outlineLvl w:val="2"/>
    </w:pPr>
    <w:rPr>
      <w:rFonts w:asciiTheme="minorHAnsi" w:hAnsiTheme="minorHAnsi" w:eastAsiaTheme="majorEastAsia" w:cstheme="majorBidi"/>
      <w:color w:val="2F5597" w:themeColor="accent1" w:themeShade="BF"/>
      <w:kern w:val="2"/>
      <w:sz w:val="28"/>
      <w:szCs w:val="28"/>
      <w:lang w:eastAsia="en-US"/>
      <w14:ligatures w14:val="standardContextual"/>
    </w:rPr>
  </w:style>
  <w:style w:type="paragraph" w:styleId="5">
    <w:name w:val="heading 4"/>
    <w:basedOn w:val="1"/>
    <w:next w:val="1"/>
    <w:link w:val="19"/>
    <w:semiHidden/>
    <w:unhideWhenUsed/>
    <w:qFormat/>
    <w:uiPriority w:val="9"/>
    <w:pPr>
      <w:keepNext/>
      <w:keepLines/>
      <w:widowControl/>
      <w:spacing w:before="80" w:after="40"/>
      <w:outlineLvl w:val="3"/>
    </w:pPr>
    <w:rPr>
      <w:rFonts w:asciiTheme="minorHAnsi" w:hAnsiTheme="minorHAnsi" w:eastAsiaTheme="majorEastAsia" w:cstheme="majorBidi"/>
      <w:i/>
      <w:iCs/>
      <w:color w:val="2F5597" w:themeColor="accent1" w:themeShade="BF"/>
      <w:kern w:val="2"/>
      <w:sz w:val="24"/>
      <w:szCs w:val="24"/>
      <w:lang w:eastAsia="en-US"/>
      <w14:ligatures w14:val="standardContextual"/>
    </w:rPr>
  </w:style>
  <w:style w:type="paragraph" w:styleId="6">
    <w:name w:val="heading 5"/>
    <w:basedOn w:val="1"/>
    <w:next w:val="1"/>
    <w:link w:val="20"/>
    <w:semiHidden/>
    <w:unhideWhenUsed/>
    <w:qFormat/>
    <w:uiPriority w:val="9"/>
    <w:pPr>
      <w:keepNext/>
      <w:keepLines/>
      <w:widowControl/>
      <w:spacing w:before="80" w:after="40"/>
      <w:outlineLvl w:val="4"/>
    </w:pPr>
    <w:rPr>
      <w:rFonts w:asciiTheme="minorHAnsi" w:hAnsiTheme="minorHAnsi" w:eastAsiaTheme="majorEastAsia" w:cstheme="majorBidi"/>
      <w:color w:val="2F5597" w:themeColor="accent1" w:themeShade="BF"/>
      <w:kern w:val="2"/>
      <w:sz w:val="24"/>
      <w:szCs w:val="24"/>
      <w:lang w:eastAsia="en-US"/>
      <w14:ligatures w14:val="standardContextual"/>
    </w:rPr>
  </w:style>
  <w:style w:type="paragraph" w:styleId="7">
    <w:name w:val="heading 6"/>
    <w:basedOn w:val="1"/>
    <w:next w:val="1"/>
    <w:link w:val="21"/>
    <w:semiHidden/>
    <w:unhideWhenUsed/>
    <w:qFormat/>
    <w:uiPriority w:val="9"/>
    <w:pPr>
      <w:keepNext/>
      <w:keepLines/>
      <w:widowControl/>
      <w:spacing w:before="40"/>
      <w:outlineLvl w:val="5"/>
    </w:pPr>
    <w:rPr>
      <w:rFonts w:asciiTheme="minorHAnsi" w:hAnsiTheme="minorHAnsi" w:eastAsiaTheme="majorEastAsia" w:cstheme="majorBidi"/>
      <w:i/>
      <w:iCs/>
      <w:color w:val="595959" w:themeColor="text1" w:themeTint="A6"/>
      <w:kern w:val="2"/>
      <w:sz w:val="24"/>
      <w:szCs w:val="24"/>
      <w:lang w:eastAsia="en-US"/>
      <w14:textFill>
        <w14:solidFill>
          <w14:schemeClr w14:val="tx1">
            <w14:lumMod w14:val="65000"/>
            <w14:lumOff w14:val="35000"/>
          </w14:schemeClr>
        </w14:solidFill>
      </w14:textFill>
      <w14:ligatures w14:val="standardContextual"/>
    </w:rPr>
  </w:style>
  <w:style w:type="paragraph" w:styleId="8">
    <w:name w:val="heading 7"/>
    <w:basedOn w:val="1"/>
    <w:next w:val="1"/>
    <w:link w:val="22"/>
    <w:semiHidden/>
    <w:unhideWhenUsed/>
    <w:qFormat/>
    <w:uiPriority w:val="9"/>
    <w:pPr>
      <w:keepNext/>
      <w:keepLines/>
      <w:widowControl/>
      <w:spacing w:before="40"/>
      <w:outlineLvl w:val="6"/>
    </w:pPr>
    <w:rPr>
      <w:rFonts w:asciiTheme="minorHAnsi" w:hAnsiTheme="minorHAnsi" w:eastAsiaTheme="majorEastAsia" w:cstheme="majorBidi"/>
      <w:color w:val="595959" w:themeColor="text1" w:themeTint="A6"/>
      <w:kern w:val="2"/>
      <w:sz w:val="24"/>
      <w:szCs w:val="24"/>
      <w:lang w:eastAsia="en-US"/>
      <w14:textFill>
        <w14:solidFill>
          <w14:schemeClr w14:val="tx1">
            <w14:lumMod w14:val="65000"/>
            <w14:lumOff w14:val="35000"/>
          </w14:schemeClr>
        </w14:solidFill>
      </w14:textFill>
      <w14:ligatures w14:val="standardContextual"/>
    </w:rPr>
  </w:style>
  <w:style w:type="paragraph" w:styleId="9">
    <w:name w:val="heading 8"/>
    <w:basedOn w:val="1"/>
    <w:next w:val="1"/>
    <w:link w:val="23"/>
    <w:semiHidden/>
    <w:unhideWhenUsed/>
    <w:qFormat/>
    <w:uiPriority w:val="9"/>
    <w:pPr>
      <w:keepNext/>
      <w:keepLines/>
      <w:widowControl/>
      <w:outlineLvl w:val="7"/>
    </w:pPr>
    <w:rPr>
      <w:rFonts w:asciiTheme="minorHAnsi" w:hAnsiTheme="minorHAnsi" w:eastAsiaTheme="majorEastAsia" w:cstheme="majorBidi"/>
      <w:i/>
      <w:iCs/>
      <w:color w:val="262626" w:themeColor="text1" w:themeTint="D9"/>
      <w:kern w:val="2"/>
      <w:sz w:val="24"/>
      <w:szCs w:val="24"/>
      <w:lang w:eastAsia="en-US"/>
      <w14:textFill>
        <w14:solidFill>
          <w14:schemeClr w14:val="tx1">
            <w14:lumMod w14:val="85000"/>
            <w14:lumOff w14:val="15000"/>
          </w14:schemeClr>
        </w14:solidFill>
      </w14:textFill>
      <w14:ligatures w14:val="standardContextual"/>
    </w:rPr>
  </w:style>
  <w:style w:type="paragraph" w:styleId="10">
    <w:name w:val="heading 9"/>
    <w:basedOn w:val="1"/>
    <w:next w:val="1"/>
    <w:link w:val="24"/>
    <w:semiHidden/>
    <w:unhideWhenUsed/>
    <w:qFormat/>
    <w:uiPriority w:val="9"/>
    <w:pPr>
      <w:keepNext/>
      <w:keepLines/>
      <w:widowControl/>
      <w:outlineLvl w:val="8"/>
    </w:pPr>
    <w:rPr>
      <w:rFonts w:asciiTheme="minorHAnsi" w:hAnsiTheme="minorHAnsi" w:eastAsiaTheme="majorEastAsia" w:cstheme="majorBidi"/>
      <w:color w:val="262626" w:themeColor="text1" w:themeTint="D9"/>
      <w:kern w:val="2"/>
      <w:sz w:val="24"/>
      <w:szCs w:val="24"/>
      <w:lang w:eastAsia="en-US"/>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Title"/>
    <w:basedOn w:val="1"/>
    <w:next w:val="1"/>
    <w:link w:val="25"/>
    <w:qFormat/>
    <w:uiPriority w:val="10"/>
    <w:pPr>
      <w:widowControl/>
      <w:spacing w:after="80"/>
      <w:contextualSpacing/>
    </w:pPr>
    <w:rPr>
      <w:rFonts w:asciiTheme="majorHAnsi" w:hAnsiTheme="majorHAnsi" w:eastAsiaTheme="majorEastAsia" w:cstheme="majorBidi"/>
      <w:color w:val="auto"/>
      <w:spacing w:val="-10"/>
      <w:kern w:val="28"/>
      <w:sz w:val="56"/>
      <w:szCs w:val="56"/>
      <w:lang w:eastAsia="en-US"/>
      <w14:ligatures w14:val="standardContextual"/>
    </w:rPr>
  </w:style>
  <w:style w:type="paragraph" w:styleId="14">
    <w:name w:val="Normal (Web)"/>
    <w:basedOn w:val="1"/>
    <w:unhideWhenUsed/>
    <w:qFormat/>
    <w:uiPriority w:val="99"/>
    <w:pPr>
      <w:widowControl/>
      <w:spacing w:before="100" w:beforeAutospacing="1" w:after="100" w:afterAutospacing="1"/>
    </w:pPr>
    <w:rPr>
      <w:rFonts w:ascii="Times New Roman" w:hAnsi="Times New Roman" w:cs="Times New Roman"/>
      <w:color w:val="auto"/>
      <w:sz w:val="24"/>
      <w:szCs w:val="24"/>
    </w:rPr>
  </w:style>
  <w:style w:type="paragraph" w:styleId="15">
    <w:name w:val="Subtitle"/>
    <w:basedOn w:val="1"/>
    <w:next w:val="1"/>
    <w:link w:val="26"/>
    <w:qFormat/>
    <w:uiPriority w:val="11"/>
    <w:pPr>
      <w:widowControl/>
      <w:spacing w:after="160"/>
    </w:pPr>
    <w:rPr>
      <w:rFonts w:asciiTheme="minorHAnsi" w:hAnsiTheme="minorHAnsi" w:eastAsiaTheme="majorEastAsia" w:cstheme="majorBidi"/>
      <w:color w:val="595959" w:themeColor="text1" w:themeTint="A6"/>
      <w:spacing w:val="15"/>
      <w:kern w:val="2"/>
      <w:sz w:val="28"/>
      <w:szCs w:val="28"/>
      <w:lang w:eastAsia="en-US"/>
      <w14:textFill>
        <w14:solidFill>
          <w14:schemeClr w14:val="tx1">
            <w14:lumMod w14:val="65000"/>
            <w14:lumOff w14:val="35000"/>
          </w14:schemeClr>
        </w14:solidFill>
      </w14:textFill>
      <w14:ligatures w14:val="standardContextual"/>
    </w:rPr>
  </w:style>
  <w:style w:type="character" w:customStyle="1" w:styleId="16">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Заголовок 2 Знак"/>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19">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20">
    <w:name w:val="Заголовок 5 Знак"/>
    <w:basedOn w:val="11"/>
    <w:link w:val="6"/>
    <w:semiHidden/>
    <w:qFormat/>
    <w:uiPriority w:val="9"/>
    <w:rPr>
      <w:rFonts w:eastAsiaTheme="majorEastAsia" w:cstheme="majorBidi"/>
      <w:color w:val="2F5597" w:themeColor="accent1" w:themeShade="BF"/>
    </w:rPr>
  </w:style>
  <w:style w:type="character" w:customStyle="1" w:styleId="21">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Заголовок Знак"/>
    <w:basedOn w:val="11"/>
    <w:link w:val="13"/>
    <w:qFormat/>
    <w:uiPriority w:val="10"/>
    <w:rPr>
      <w:rFonts w:asciiTheme="majorHAnsi" w:hAnsiTheme="majorHAnsi" w:eastAsiaTheme="majorEastAsia" w:cstheme="majorBidi"/>
      <w:spacing w:val="-10"/>
      <w:kern w:val="28"/>
      <w:sz w:val="56"/>
      <w:szCs w:val="56"/>
    </w:rPr>
  </w:style>
  <w:style w:type="character" w:customStyle="1" w:styleId="26">
    <w:name w:val="Подзаголовок Знак"/>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widowControl/>
      <w:spacing w:before="160" w:after="160"/>
      <w:jc w:val="center"/>
    </w:pPr>
    <w:rPr>
      <w:rFonts w:asciiTheme="minorHAnsi" w:hAnsiTheme="minorHAnsi" w:eastAsiaTheme="minorHAnsi" w:cstheme="minorBidi"/>
      <w:i/>
      <w:iCs/>
      <w:color w:val="404040" w:themeColor="text1" w:themeTint="BF"/>
      <w:kern w:val="2"/>
      <w:sz w:val="24"/>
      <w:szCs w:val="24"/>
      <w:lang w:eastAsia="en-US"/>
      <w14:textFill>
        <w14:solidFill>
          <w14:schemeClr w14:val="tx1">
            <w14:lumMod w14:val="75000"/>
            <w14:lumOff w14:val="25000"/>
          </w14:schemeClr>
        </w14:solidFill>
      </w14:textFill>
      <w14:ligatures w14:val="standardContextual"/>
    </w:rPr>
  </w:style>
  <w:style w:type="character" w:customStyle="1" w:styleId="28">
    <w:name w:val="Цитата 2 Знак"/>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widowControl/>
      <w:ind w:left="720"/>
      <w:contextualSpacing/>
    </w:pPr>
    <w:rPr>
      <w:rFonts w:asciiTheme="minorHAnsi" w:hAnsiTheme="minorHAnsi" w:eastAsiaTheme="minorHAnsi" w:cstheme="minorBidi"/>
      <w:color w:val="auto"/>
      <w:kern w:val="2"/>
      <w:sz w:val="24"/>
      <w:szCs w:val="24"/>
      <w:lang w:eastAsia="en-US"/>
      <w14:ligatures w14:val="standardContextual"/>
    </w:r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widowControl/>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HAnsi" w:cstheme="minorBidi"/>
      <w:i/>
      <w:iCs/>
      <w:color w:val="2F5597" w:themeColor="accent1" w:themeShade="BF"/>
      <w:kern w:val="2"/>
      <w:sz w:val="24"/>
      <w:szCs w:val="24"/>
      <w:lang w:eastAsia="en-US"/>
      <w14:ligatures w14:val="standardContextual"/>
    </w:rPr>
  </w:style>
  <w:style w:type="character" w:customStyle="1" w:styleId="32">
    <w:name w:val="Выделенная цитата Знак"/>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 w:type="character" w:customStyle="1" w:styleId="34">
    <w:name w:val="Основной текст (2)_"/>
    <w:basedOn w:val="11"/>
    <w:link w:val="35"/>
    <w:qFormat/>
    <w:uiPriority w:val="0"/>
    <w:rPr>
      <w:sz w:val="28"/>
      <w:szCs w:val="28"/>
      <w:shd w:val="clear" w:color="auto" w:fill="FFFFFF"/>
    </w:rPr>
  </w:style>
  <w:style w:type="paragraph" w:customStyle="1" w:styleId="35">
    <w:name w:val="Основной текст (2)"/>
    <w:basedOn w:val="1"/>
    <w:link w:val="34"/>
    <w:qFormat/>
    <w:uiPriority w:val="0"/>
    <w:pPr>
      <w:shd w:val="clear" w:color="auto" w:fill="FFFFFF"/>
      <w:spacing w:after="780" w:line="0" w:lineRule="atLeast"/>
      <w:jc w:val="right"/>
    </w:pPr>
    <w:rPr>
      <w:rFonts w:asciiTheme="minorHAnsi" w:hAnsiTheme="minorHAnsi" w:eastAsiaTheme="minorHAnsi" w:cstheme="minorBidi"/>
      <w:color w:val="auto"/>
      <w:kern w:val="2"/>
      <w:sz w:val="28"/>
      <w:szCs w:val="28"/>
      <w:lang w:eastAsia="en-US"/>
      <w14:ligatures w14:val="standardContextual"/>
    </w:rPr>
  </w:style>
  <w:style w:type="character" w:customStyle="1" w:styleId="36">
    <w:name w:val="apple-converted-space"/>
    <w:basedOn w:val="1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1955</Words>
  <Characters>11148</Characters>
  <Lines>92</Lines>
  <Paragraphs>26</Paragraphs>
  <TotalTime>10</TotalTime>
  <ScaleCrop>false</ScaleCrop>
  <LinksUpToDate>false</LinksUpToDate>
  <CharactersWithSpaces>13077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2026-03-13T10:34:00Z</dcterms:created>
  <dc:creator>Microsoft Office User</dc:creator>
  <cp:lastModifiedBy>Leninskii</cp:lastModifiedBy>
  <cp:lastPrinted>2026-03-16T05:15:12Z</cp:lastPrinted>
  <dcterms:modified xsi:type="dcterms:W3CDTF">2026-03-16T05:18:47Z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F2DAEC2F6A4A44A7A49CDF3BE8A14522_12</vt:lpwstr>
  </property>
</Properties>
</file>