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W w:w="0" w:type="auto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45"/>
        <w:gridCol w:w="4608"/>
      </w:tblGrid>
      <w:tr w14:paraId="1C10C4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shd w:val="clear" w:color="auto" w:fill="auto"/>
          </w:tcPr>
          <w:p w14:paraId="5EA8E2AB">
            <w:pPr>
              <w:jc w:val="center"/>
              <w:rPr>
                <w:rFonts w:ascii="Calibri" w:hAnsi="Calibri"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СОВЕТ ДЕПУТАТОВ</w:t>
            </w:r>
          </w:p>
          <w:p w14:paraId="065171A1">
            <w:pPr>
              <w:jc w:val="center"/>
              <w:rPr>
                <w:rFonts w:ascii="Calibri" w:hAnsi="Calibri"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МУНИЦИПАЛЬНОГО</w:t>
            </w:r>
          </w:p>
          <w:p w14:paraId="2EA49F2E">
            <w:pPr>
              <w:jc w:val="center"/>
              <w:rPr>
                <w:rFonts w:ascii="Calibri" w:hAnsi="Calibri"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ОБРАЗОВАНИЯ</w:t>
            </w:r>
          </w:p>
          <w:p w14:paraId="76F6E40A">
            <w:pPr>
              <w:jc w:val="center"/>
              <w:rPr>
                <w:rFonts w:ascii="Calibri" w:hAnsi="Calibri"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ЛЕНИНСКИЙ СЕЛЬСОВЕТ</w:t>
            </w:r>
          </w:p>
          <w:p w14:paraId="28D5F534">
            <w:pPr>
              <w:jc w:val="center"/>
              <w:rPr>
                <w:rFonts w:ascii="Calibri" w:hAnsi="Calibri"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ОРЕНБУРГСКОГО РАЙОНА</w:t>
            </w:r>
          </w:p>
          <w:p w14:paraId="7FA54F90">
            <w:pPr>
              <w:jc w:val="center"/>
              <w:rPr>
                <w:rFonts w:ascii="Calibri" w:hAnsi="Calibri"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ОРЕНБУРГСКОЙ ОБЛАСТИ</w:t>
            </w:r>
          </w:p>
          <w:p w14:paraId="0802988E">
            <w:pPr>
              <w:jc w:val="center"/>
              <w:rPr>
                <w:rFonts w:ascii="Calibri" w:hAnsi="Calibri" w:eastAsia="Calibri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пятый созыв</w:t>
            </w:r>
          </w:p>
          <w:p w14:paraId="6DAAB87D">
            <w:pPr>
              <w:jc w:val="center"/>
              <w:rPr>
                <w:rFonts w:ascii="Calibri" w:hAnsi="Calibri" w:eastAsia="Calibri"/>
                <w:sz w:val="28"/>
                <w:szCs w:val="28"/>
                <w:lang w:eastAsia="en-US"/>
              </w:rPr>
            </w:pPr>
          </w:p>
          <w:p w14:paraId="71EAE77D">
            <w:pPr>
              <w:jc w:val="center"/>
              <w:rPr>
                <w:rFonts w:ascii="Calibri" w:hAnsi="Calibri"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Р Е Ш Е Н И Е</w:t>
            </w:r>
          </w:p>
          <w:p w14:paraId="50AD7986">
            <w:pPr>
              <w:jc w:val="center"/>
              <w:rPr>
                <w:rFonts w:ascii="Calibri" w:hAnsi="Calibri" w:eastAsia="Calibri"/>
                <w:b/>
                <w:sz w:val="28"/>
                <w:szCs w:val="28"/>
                <w:lang w:eastAsia="en-US"/>
              </w:rPr>
            </w:pPr>
          </w:p>
          <w:p w14:paraId="080628FE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hint="default" w:eastAsia="Calibri"/>
                <w:sz w:val="28"/>
                <w:szCs w:val="28"/>
                <w:lang w:val="ru-RU" w:eastAsia="en-US"/>
              </w:rPr>
              <w:t xml:space="preserve">23.10.2026 </w:t>
            </w:r>
            <w:bookmarkStart w:id="1" w:name="_GoBack"/>
            <w:bookmarkEnd w:id="1"/>
            <w:r>
              <w:rPr>
                <w:rFonts w:eastAsia="Calibri"/>
                <w:sz w:val="28"/>
                <w:szCs w:val="28"/>
                <w:lang w:eastAsia="en-US"/>
              </w:rPr>
              <w:t xml:space="preserve">№ </w:t>
            </w:r>
          </w:p>
          <w:p w14:paraId="46A776A0">
            <w:pPr>
              <w:jc w:val="center"/>
              <w:rPr>
                <w:rFonts w:ascii="Calibri" w:hAnsi="Calibri"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608" w:type="dxa"/>
            <w:shd w:val="clear" w:color="auto" w:fill="auto"/>
          </w:tcPr>
          <w:p w14:paraId="7EB43BC3">
            <w:pPr>
              <w:jc w:val="right"/>
              <w:rPr>
                <w:rFonts w:ascii="Calibri" w:hAnsi="Calibri" w:eastAsia="Calibri"/>
                <w:b/>
                <w:sz w:val="28"/>
                <w:szCs w:val="28"/>
                <w:lang w:eastAsia="en-US"/>
              </w:rPr>
            </w:pPr>
          </w:p>
          <w:p w14:paraId="6FA6F69A">
            <w:pPr>
              <w:jc w:val="center"/>
              <w:rPr>
                <w:rFonts w:ascii="Calibri" w:hAnsi="Calibri" w:eastAsia="Calibri"/>
                <w:b/>
                <w:sz w:val="28"/>
                <w:szCs w:val="28"/>
                <w:lang w:eastAsia="en-US"/>
              </w:rPr>
            </w:pPr>
            <w:r>
              <w:rPr>
                <w:rFonts w:ascii="Calibri" w:hAnsi="Calibri" w:eastAsia="Calibri"/>
                <w:b/>
                <w:sz w:val="28"/>
                <w:szCs w:val="28"/>
                <w:lang w:eastAsia="en-US"/>
              </w:rPr>
              <w:t>ПРОЕКТ</w:t>
            </w:r>
          </w:p>
          <w:p w14:paraId="38298D69">
            <w:pPr>
              <w:jc w:val="center"/>
              <w:rPr>
                <w:rFonts w:ascii="Calibri" w:hAnsi="Calibri" w:eastAsia="Calibri"/>
                <w:b/>
                <w:sz w:val="28"/>
                <w:szCs w:val="28"/>
                <w:lang w:eastAsia="en-US"/>
              </w:rPr>
            </w:pPr>
          </w:p>
        </w:tc>
      </w:tr>
    </w:tbl>
    <w:p w14:paraId="720080C9">
      <w:pPr>
        <w:rPr>
          <w:vanish/>
        </w:rPr>
      </w:pPr>
    </w:p>
    <w:tbl>
      <w:tblPr>
        <w:tblStyle w:val="10"/>
        <w:tblW w:w="9350" w:type="dxa"/>
        <w:tblInd w:w="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9350"/>
      </w:tblGrid>
      <w:tr w14:paraId="417D7D25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695" w:hRule="atLeast"/>
        </w:trPr>
        <w:tc>
          <w:tcPr>
            <w:tcW w:w="9350" w:type="dxa"/>
          </w:tcPr>
          <w:p w14:paraId="42580893">
            <w:pPr>
              <w:spacing w:line="256" w:lineRule="auto"/>
              <w:ind w:right="5456"/>
              <w:jc w:val="both"/>
              <w:rPr>
                <w:sz w:val="28"/>
                <w:szCs w:val="28"/>
                <w:lang w:eastAsia="en-US"/>
              </w:rPr>
            </w:pPr>
          </w:p>
          <w:p w14:paraId="461ED145">
            <w:pPr>
              <w:spacing w:line="256" w:lineRule="auto"/>
              <w:ind w:right="5172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 xml:space="preserve">порядке признания задолженности безнадежной к взысканию и ее списание </w:t>
            </w:r>
          </w:p>
        </w:tc>
      </w:tr>
    </w:tbl>
    <w:p w14:paraId="38FC6665">
      <w:pPr>
        <w:ind w:firstLine="709"/>
        <w:jc w:val="both"/>
        <w:rPr>
          <w:sz w:val="28"/>
          <w:szCs w:val="28"/>
        </w:rPr>
      </w:pPr>
    </w:p>
    <w:p w14:paraId="5E86E84A">
      <w:pPr>
        <w:ind w:firstLine="709"/>
        <w:jc w:val="both"/>
        <w:rPr>
          <w:sz w:val="28"/>
          <w:szCs w:val="28"/>
        </w:rPr>
      </w:pPr>
    </w:p>
    <w:p w14:paraId="354896B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>
        <w:fldChar w:fldCharType="begin"/>
      </w:r>
      <w:r>
        <w:instrText xml:space="preserve"> HYPERLINK "http://ivo.garant.ru/document/redirect/404993543/0" </w:instrText>
      </w:r>
      <w:r>
        <w:fldChar w:fldCharType="separate"/>
      </w:r>
      <w:r>
        <w:rPr>
          <w:rStyle w:val="46"/>
          <w:color w:val="auto"/>
          <w:sz w:val="28"/>
          <w:szCs w:val="28"/>
          <w:u w:val="none"/>
        </w:rPr>
        <w:t>Федеральным закон</w:t>
      </w:r>
      <w:r>
        <w:rPr>
          <w:rStyle w:val="46"/>
          <w:color w:val="auto"/>
          <w:sz w:val="28"/>
          <w:szCs w:val="28"/>
          <w:u w:val="none"/>
        </w:rPr>
        <w:fldChar w:fldCharType="end"/>
      </w:r>
      <w:r>
        <w:rPr>
          <w:rStyle w:val="46"/>
          <w:color w:val="auto"/>
          <w:sz w:val="28"/>
          <w:szCs w:val="28"/>
          <w:u w:val="none"/>
        </w:rPr>
        <w:t>ом</w:t>
      </w:r>
      <w:r>
        <w:rPr>
          <w:sz w:val="28"/>
          <w:szCs w:val="28"/>
        </w:rPr>
        <w:t xml:space="preserve"> от 14 июля 2022 года  № 263-ФЗ "О внесении изменений в части первую и вторую Налогового кодекса Российской Федерации", </w:t>
      </w:r>
      <w:r>
        <w:rPr>
          <w:rFonts w:eastAsia="Calibri"/>
          <w:sz w:val="28"/>
          <w:szCs w:val="28"/>
        </w:rPr>
        <w:t xml:space="preserve">Федеральным законом  от 06 октября 2003 года  №131-ФЗ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 xml:space="preserve">со статьей 59 Налогового кодекса РФ, протестом прокуратуры Оренбургского района от 15.06.2026 № 07-01-2026-425, </w:t>
      </w:r>
      <w:r>
        <w:rPr>
          <w:sz w:val="28"/>
          <w:szCs w:val="28"/>
          <w:lang w:eastAsia="en-US"/>
        </w:rPr>
        <w:t>руководствуясь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Уставом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муниципального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образования</w:t>
      </w:r>
      <w:r>
        <w:rPr>
          <w:spacing w:val="1"/>
          <w:sz w:val="28"/>
          <w:szCs w:val="28"/>
          <w:lang w:eastAsia="en-US"/>
        </w:rPr>
        <w:t xml:space="preserve"> </w:t>
      </w:r>
      <w:bookmarkStart w:id="0" w:name="_Hlk235183370"/>
      <w:r>
        <w:rPr>
          <w:sz w:val="28"/>
          <w:szCs w:val="28"/>
          <w:lang w:eastAsia="en-US"/>
        </w:rPr>
        <w:t>Ленинский</w:t>
      </w:r>
      <w:bookmarkEnd w:id="0"/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сельсовет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Оренбургского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района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Оренбургской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области, Совет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депутатов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муниципального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образования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Ленинский</w:t>
      </w:r>
      <w:r>
        <w:rPr>
          <w:spacing w:val="70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сельсовет</w:t>
      </w:r>
      <w:r>
        <w:rPr>
          <w:spacing w:val="70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Оренбургского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района</w:t>
      </w:r>
      <w:r>
        <w:rPr>
          <w:spacing w:val="-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Оренбургской области р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е</w:t>
      </w:r>
      <w:r>
        <w:rPr>
          <w:spacing w:val="-2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ш</w:t>
      </w:r>
      <w:r>
        <w:rPr>
          <w:spacing w:val="-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и л:</w:t>
      </w:r>
    </w:p>
    <w:p w14:paraId="71F88F37">
      <w:pPr>
        <w:pStyle w:val="26"/>
        <w:shd w:val="clear" w:color="auto" w:fill="FFFFFF"/>
        <w:tabs>
          <w:tab w:val="left" w:pos="993"/>
          <w:tab w:val="left" w:pos="1276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 Установить, что безнадежной к взысканию признается задолженность, числящаяся за налогоплательщиком, плательщиком сборов, плательщиком страховых взносов или налоговым агентом и повлекшая формирование отрицательного сальдо единого налогового счета такого лица, погашение и (или) взыскание которой оказались невозможными, в </w:t>
      </w:r>
      <w:r>
        <w:fldChar w:fldCharType="begin"/>
      </w:r>
      <w:r>
        <w:instrText xml:space="preserve"> HYPERLINK "https://www.consultant.ru/document/cons_doc_LAW_379761/27acdbc50fc72b06f6471d7b10c890845a59386c/" \l "dst1" </w:instrText>
      </w:r>
      <w:r>
        <w:fldChar w:fldCharType="separate"/>
      </w:r>
      <w:r>
        <w:rPr>
          <w:rStyle w:val="13"/>
          <w:rFonts w:ascii="Times New Roman" w:hAnsi="Times New Roman" w:cs="Times New Roman"/>
          <w:color w:val="auto"/>
          <w:sz w:val="28"/>
          <w:szCs w:val="28"/>
          <w:u w:val="none"/>
        </w:rPr>
        <w:t>случаях</w:t>
      </w:r>
      <w:r>
        <w:rPr>
          <w:rStyle w:val="13"/>
          <w:rFonts w:ascii="Times New Roman" w:hAnsi="Times New Roman" w:cs="Times New Roman"/>
          <w:color w:val="auto"/>
          <w:sz w:val="28"/>
          <w:szCs w:val="28"/>
          <w:u w:val="none"/>
        </w:rPr>
        <w:fldChar w:fldCharType="end"/>
      </w:r>
      <w:r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14:paraId="4F4DBC47">
      <w:pPr>
        <w:tabs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ликвидации организации в соответствии с </w:t>
      </w:r>
      <w:r>
        <w:fldChar w:fldCharType="begin"/>
      </w:r>
      <w:r>
        <w:instrText xml:space="preserve"> HYPERLINK "https://www.consultant.ru/document/cons_doc_LAW_471848/974be1fad91d7bc49b99851f8e9fc52eae6af180/" \l "dst100344" </w:instrText>
      </w:r>
      <w:r>
        <w:fldChar w:fldCharType="separate"/>
      </w:r>
      <w:r>
        <w:rPr>
          <w:rStyle w:val="13"/>
          <w:color w:val="auto"/>
          <w:sz w:val="28"/>
          <w:szCs w:val="28"/>
          <w:u w:val="none"/>
        </w:rPr>
        <w:t>законодательством</w:t>
      </w:r>
      <w:r>
        <w:rPr>
          <w:rStyle w:val="13"/>
          <w:color w:val="auto"/>
          <w:sz w:val="28"/>
          <w:szCs w:val="28"/>
          <w:u w:val="none"/>
        </w:rPr>
        <w:fldChar w:fldCharType="end"/>
      </w:r>
      <w:r>
        <w:rPr>
          <w:sz w:val="28"/>
          <w:szCs w:val="28"/>
        </w:rPr>
        <w:t> Российской Федерации или законодательством иностранного государства, исключения юридического лица из Единого государственного реестра юридических лиц по решению регистрирующего органа в случае вынесения судебным приставом-исполнителем постановления об окончании исполнительного производства в связи с возвратом взыскателю исполнительного документа по основаниям, предусмотренным </w:t>
      </w:r>
      <w:r>
        <w:fldChar w:fldCharType="begin"/>
      </w:r>
      <w:r>
        <w:instrText xml:space="preserve"> HYPERLINK "https://www.consultant.ru/document/cons_doc_LAW_465568/105782f48579348026e763beef098430090826b6/" \l "dst100348" </w:instrText>
      </w:r>
      <w:r>
        <w:fldChar w:fldCharType="separate"/>
      </w:r>
      <w:r>
        <w:rPr>
          <w:rStyle w:val="13"/>
          <w:color w:val="auto"/>
          <w:sz w:val="28"/>
          <w:szCs w:val="28"/>
          <w:u w:val="none"/>
        </w:rPr>
        <w:t>пунктом 3</w:t>
      </w:r>
      <w:r>
        <w:rPr>
          <w:rStyle w:val="13"/>
          <w:color w:val="auto"/>
          <w:sz w:val="28"/>
          <w:szCs w:val="28"/>
          <w:u w:val="none"/>
        </w:rPr>
        <w:fldChar w:fldCharType="end"/>
      </w:r>
      <w:r>
        <w:rPr>
          <w:sz w:val="28"/>
          <w:szCs w:val="28"/>
        </w:rPr>
        <w:t> или </w:t>
      </w:r>
      <w:r>
        <w:fldChar w:fldCharType="begin"/>
      </w:r>
      <w:r>
        <w:instrText xml:space="preserve"> HYPERLINK "https://www.consultant.ru/document/cons_doc_LAW_465568/105782f48579348026e763beef098430090826b6/" \l "dst100349" </w:instrText>
      </w:r>
      <w:r>
        <w:fldChar w:fldCharType="separate"/>
      </w:r>
      <w:r>
        <w:rPr>
          <w:rStyle w:val="13"/>
          <w:color w:val="auto"/>
          <w:sz w:val="28"/>
          <w:szCs w:val="28"/>
          <w:u w:val="none"/>
        </w:rPr>
        <w:t>4 части 1 статьи 46</w:t>
      </w:r>
      <w:r>
        <w:rPr>
          <w:rStyle w:val="13"/>
          <w:color w:val="auto"/>
          <w:sz w:val="28"/>
          <w:szCs w:val="28"/>
          <w:u w:val="none"/>
        </w:rPr>
        <w:fldChar w:fldCharType="end"/>
      </w:r>
      <w:r>
        <w:rPr>
          <w:sz w:val="28"/>
          <w:szCs w:val="28"/>
        </w:rPr>
        <w:t> Федерального закона от 2 октября 2007 года № 229-ФЗ "Об исполнительном производстве", - в части задолженности, не погашенной по причине недостаточности имущества организации и (или) невозможности ее погашения учредителями (участниками) указанной организации в пределах и порядке, которые установлены законодательством Российской Федерации;</w:t>
      </w:r>
    </w:p>
    <w:p w14:paraId="62855E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завершения процедуры банкротства гражданина, индивидуального предпринимателя в соответствии с Федеральным законом от 26 октября 2002 года № 127-ФЗ "О несостоятельности (банкротстве)" - в части задолженности, от исполнения обязанности по уплате которой он освобожден в соответствии с указанным Федеральным </w:t>
      </w:r>
      <w:r>
        <w:fldChar w:fldCharType="begin"/>
      </w:r>
      <w:r>
        <w:instrText xml:space="preserve"> HYPERLINK "https://www.consultant.ru/document/cons_doc_LAW_465984/" </w:instrText>
      </w:r>
      <w:r>
        <w:fldChar w:fldCharType="separate"/>
      </w:r>
      <w:r>
        <w:rPr>
          <w:rStyle w:val="13"/>
          <w:color w:val="auto"/>
          <w:sz w:val="28"/>
          <w:szCs w:val="28"/>
          <w:u w:val="none"/>
        </w:rPr>
        <w:t>законом</w:t>
      </w:r>
      <w:r>
        <w:rPr>
          <w:rStyle w:val="13"/>
          <w:color w:val="auto"/>
          <w:sz w:val="28"/>
          <w:szCs w:val="28"/>
          <w:u w:val="none"/>
        </w:rPr>
        <w:fldChar w:fldCharType="end"/>
      </w:r>
      <w:r>
        <w:rPr>
          <w:sz w:val="28"/>
          <w:szCs w:val="28"/>
        </w:rPr>
        <w:t>;</w:t>
      </w:r>
    </w:p>
    <w:p w14:paraId="42D94EA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смерти физического лица или объявления его умершим в порядке, установленном гражданским процессуальным </w:t>
      </w:r>
      <w:r>
        <w:fldChar w:fldCharType="begin"/>
      </w:r>
      <w:r>
        <w:instrText xml:space="preserve"> HYPERLINK "https://www.consultant.ru/document/cons_doc_LAW_19671/5377b0e3c206aea2e91c9ae02688db5bdc59685c/" </w:instrText>
      </w:r>
      <w:r>
        <w:fldChar w:fldCharType="separate"/>
      </w:r>
      <w:r>
        <w:rPr>
          <w:rStyle w:val="13"/>
          <w:color w:val="auto"/>
          <w:sz w:val="28"/>
          <w:szCs w:val="28"/>
          <w:u w:val="none"/>
        </w:rPr>
        <w:t>законодательством</w:t>
      </w:r>
      <w:r>
        <w:rPr>
          <w:rStyle w:val="13"/>
          <w:color w:val="auto"/>
          <w:sz w:val="28"/>
          <w:szCs w:val="28"/>
          <w:u w:val="none"/>
        </w:rPr>
        <w:fldChar w:fldCharType="end"/>
      </w:r>
      <w:r>
        <w:rPr>
          <w:sz w:val="28"/>
          <w:szCs w:val="28"/>
        </w:rPr>
        <w:t> Российской Федерации, - в части задолженности по всем налогам, сборам, страховым взносам, а в части налогов, указанных в </w:t>
      </w:r>
      <w:r>
        <w:fldChar w:fldCharType="begin"/>
      </w:r>
      <w:r>
        <w:instrText xml:space="preserve"> HYPERLINK "https://www.consultant.ru/document/cons_doc_LAW_453958/f2f402a224cddc696164bef8f6b7b9f61fbea64d/" \l "dst77" </w:instrText>
      </w:r>
      <w:r>
        <w:fldChar w:fldCharType="separate"/>
      </w:r>
      <w:r>
        <w:rPr>
          <w:rStyle w:val="13"/>
          <w:color w:val="auto"/>
          <w:sz w:val="28"/>
          <w:szCs w:val="28"/>
          <w:u w:val="none"/>
        </w:rPr>
        <w:t>пункте 3 статьи 14</w:t>
      </w:r>
      <w:r>
        <w:rPr>
          <w:rStyle w:val="13"/>
          <w:color w:val="auto"/>
          <w:sz w:val="28"/>
          <w:szCs w:val="28"/>
          <w:u w:val="none"/>
        </w:rPr>
        <w:fldChar w:fldCharType="end"/>
      </w:r>
      <w:r>
        <w:rPr>
          <w:sz w:val="28"/>
          <w:szCs w:val="28"/>
        </w:rPr>
        <w:t> и </w:t>
      </w:r>
      <w:r>
        <w:fldChar w:fldCharType="begin"/>
      </w:r>
      <w:r>
        <w:instrText xml:space="preserve"> HYPERLINK "https://www.consultant.ru/document/cons_doc_LAW_453958/c2a293c02a125727a5f7f10918aa8acea6c1510a/" \l "dst78" </w:instrText>
      </w:r>
      <w:r>
        <w:fldChar w:fldCharType="separate"/>
      </w:r>
      <w:r>
        <w:rPr>
          <w:rStyle w:val="13"/>
          <w:color w:val="auto"/>
          <w:sz w:val="28"/>
          <w:szCs w:val="28"/>
          <w:u w:val="none"/>
        </w:rPr>
        <w:t>статье 15</w:t>
      </w:r>
      <w:r>
        <w:rPr>
          <w:rStyle w:val="13"/>
          <w:color w:val="auto"/>
          <w:sz w:val="28"/>
          <w:szCs w:val="28"/>
          <w:u w:val="none"/>
        </w:rPr>
        <w:fldChar w:fldCharType="end"/>
      </w:r>
      <w:r>
        <w:rPr>
          <w:sz w:val="28"/>
          <w:szCs w:val="28"/>
        </w:rPr>
        <w:t> настоящего Кодекса, - в размере, превышающем стоимость его наследственного имущества, в том числе в случае перехода наследства в собственность Российской Федерации;</w:t>
      </w:r>
    </w:p>
    <w:p w14:paraId="61274D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принятия судом акта, в соответствии с которым налоговый орган утрачивает возможность взыскания задолженности в связи с истечением установленного срока ее взыскания, в том числе вынесения им определения об отказе в восстановлении пропущенного срока подачи заявления в суд о взыскании задолженности;</w:t>
      </w:r>
    </w:p>
    <w:p w14:paraId="5969C0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4.1) вынесения судебным приставом-исполнителем постановления об окончании исполнительного производства при возврате взыскателю исполнительного документа по основаниям, предусмотренным </w:t>
      </w:r>
      <w:r>
        <w:fldChar w:fldCharType="begin"/>
      </w:r>
      <w:r>
        <w:instrText xml:space="preserve"> HYPERLINK "https://www.consultant.ru/document/cons_doc_LAW_465568/105782f48579348026e763beef098430090826b6/" \l "dst100348" </w:instrText>
      </w:r>
      <w:r>
        <w:fldChar w:fldCharType="separate"/>
      </w:r>
      <w:r>
        <w:rPr>
          <w:rStyle w:val="13"/>
          <w:color w:val="auto"/>
          <w:sz w:val="28"/>
          <w:szCs w:val="28"/>
          <w:u w:val="none"/>
        </w:rPr>
        <w:t>пунктами 3</w:t>
      </w:r>
      <w:r>
        <w:rPr>
          <w:rStyle w:val="13"/>
          <w:color w:val="auto"/>
          <w:sz w:val="28"/>
          <w:szCs w:val="28"/>
          <w:u w:val="none"/>
        </w:rPr>
        <w:fldChar w:fldCharType="end"/>
      </w:r>
      <w:r>
        <w:rPr>
          <w:sz w:val="28"/>
          <w:szCs w:val="28"/>
        </w:rPr>
        <w:t> и </w:t>
      </w:r>
      <w:r>
        <w:fldChar w:fldCharType="begin"/>
      </w:r>
      <w:r>
        <w:instrText xml:space="preserve"> HYPERLINK "https://www.consultant.ru/document/cons_doc_LAW_465568/105782f48579348026e763beef098430090826b6/" \l "dst100349" </w:instrText>
      </w:r>
      <w:r>
        <w:fldChar w:fldCharType="separate"/>
      </w:r>
      <w:r>
        <w:rPr>
          <w:rStyle w:val="13"/>
          <w:color w:val="auto"/>
          <w:sz w:val="28"/>
          <w:szCs w:val="28"/>
          <w:u w:val="none"/>
        </w:rPr>
        <w:t>4 части 1 статьи 46</w:t>
      </w:r>
      <w:r>
        <w:rPr>
          <w:rStyle w:val="13"/>
          <w:color w:val="auto"/>
          <w:sz w:val="28"/>
          <w:szCs w:val="28"/>
          <w:u w:val="none"/>
        </w:rPr>
        <w:fldChar w:fldCharType="end"/>
      </w:r>
      <w:r>
        <w:rPr>
          <w:sz w:val="28"/>
          <w:szCs w:val="28"/>
        </w:rPr>
        <w:t> Федерального закона от 2 октября 2007 года № 229-ФЗ "Об исполнительном производстве", если с даты образования задолженности, размер которой не превышает размера требований к должнику, установленного </w:t>
      </w:r>
      <w:r>
        <w:fldChar w:fldCharType="begin"/>
      </w:r>
      <w:r>
        <w:instrText xml:space="preserve"> HYPERLINK "https://www.consultant.ru/document/cons_doc_LAW_465984/3fe8d4aaca9650ba62c13ae54fcab444cc149ef2/" \l "dst5322" </w:instrText>
      </w:r>
      <w:r>
        <w:fldChar w:fldCharType="separate"/>
      </w:r>
      <w:r>
        <w:rPr>
          <w:rStyle w:val="13"/>
          <w:color w:val="auto"/>
          <w:sz w:val="28"/>
          <w:szCs w:val="28"/>
          <w:u w:val="none"/>
        </w:rPr>
        <w:t>законодательством</w:t>
      </w:r>
      <w:r>
        <w:rPr>
          <w:rStyle w:val="13"/>
          <w:color w:val="auto"/>
          <w:sz w:val="28"/>
          <w:szCs w:val="28"/>
          <w:u w:val="none"/>
        </w:rPr>
        <w:fldChar w:fldCharType="end"/>
      </w:r>
      <w:r>
        <w:rPr>
          <w:sz w:val="28"/>
          <w:szCs w:val="28"/>
        </w:rPr>
        <w:t> Российской Федерации о несостоятельности (банкротстве) для возбуждения производства по делу о банкротстве, прошло более пяти лет;</w:t>
      </w:r>
    </w:p>
    <w:p w14:paraId="73A9C3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4.2) снятия с учета в налоговом органе иностранной организации в соответствии с </w:t>
      </w:r>
      <w:r>
        <w:fldChar w:fldCharType="begin"/>
      </w:r>
      <w:r>
        <w:instrText xml:space="preserve"> HYPERLINK "https://www.consultant.ru/document/cons_doc_LAW_453958/a7996b6662403761dc20fe3481794c2614d18234/" \l "dst4045" </w:instrText>
      </w:r>
      <w:r>
        <w:fldChar w:fldCharType="separate"/>
      </w:r>
      <w:r>
        <w:rPr>
          <w:rStyle w:val="13"/>
          <w:color w:val="auto"/>
          <w:sz w:val="28"/>
          <w:szCs w:val="28"/>
          <w:u w:val="none"/>
        </w:rPr>
        <w:t>пунктом 5.5 статьи 84</w:t>
      </w:r>
      <w:r>
        <w:rPr>
          <w:rStyle w:val="13"/>
          <w:color w:val="auto"/>
          <w:sz w:val="28"/>
          <w:szCs w:val="28"/>
          <w:u w:val="none"/>
        </w:rPr>
        <w:fldChar w:fldCharType="end"/>
      </w:r>
      <w:r>
        <w:rPr>
          <w:sz w:val="28"/>
          <w:szCs w:val="28"/>
        </w:rPr>
        <w:t> настоящего Кодекса;</w:t>
      </w:r>
    </w:p>
    <w:p w14:paraId="4E3DE8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4.3) принятия судом акта о возвращении заявления о признании должника банкротом или прекращении производства по делу о банкротстве в связи с </w:t>
      </w:r>
      <w:r>
        <w:fldChar w:fldCharType="begin"/>
      </w:r>
      <w:r>
        <w:instrText xml:space="preserve"> HYPERLINK "https://www.consultant.ru/document/cons_doc_LAW_319596/" \l "dst100005" </w:instrText>
      </w:r>
      <w:r>
        <w:fldChar w:fldCharType="separate"/>
      </w:r>
      <w:r>
        <w:rPr>
          <w:rStyle w:val="13"/>
          <w:color w:val="auto"/>
          <w:sz w:val="28"/>
          <w:szCs w:val="28"/>
          <w:u w:val="none"/>
        </w:rPr>
        <w:t>отсутствием средств</w:t>
      </w:r>
      <w:r>
        <w:rPr>
          <w:rStyle w:val="13"/>
          <w:color w:val="auto"/>
          <w:sz w:val="28"/>
          <w:szCs w:val="28"/>
          <w:u w:val="none"/>
        </w:rPr>
        <w:fldChar w:fldCharType="end"/>
      </w:r>
      <w:r>
        <w:rPr>
          <w:sz w:val="28"/>
          <w:szCs w:val="28"/>
        </w:rPr>
        <w:t>, достаточных для возмещения судебных расходов на проведение процедур, применяемых в деле о банкротстве;</w:t>
      </w:r>
    </w:p>
    <w:p w14:paraId="63A357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в иных случаях, предусмотренных </w:t>
      </w:r>
      <w:r>
        <w:fldChar w:fldCharType="begin"/>
      </w:r>
      <w:r>
        <w:instrText xml:space="preserve"> HYPERLINK "https://www.consultant.ru/document/cons_doc_LAW_19671/5377b0e3c206aea2e91c9ae02688db5bdc59685c/" </w:instrText>
      </w:r>
      <w:r>
        <w:fldChar w:fldCharType="separate"/>
      </w:r>
      <w:r>
        <w:rPr>
          <w:rStyle w:val="13"/>
          <w:color w:val="auto"/>
          <w:sz w:val="28"/>
          <w:szCs w:val="28"/>
          <w:u w:val="none"/>
        </w:rPr>
        <w:t>законодательством</w:t>
      </w:r>
      <w:r>
        <w:rPr>
          <w:rStyle w:val="13"/>
          <w:color w:val="auto"/>
          <w:sz w:val="28"/>
          <w:szCs w:val="28"/>
          <w:u w:val="none"/>
        </w:rPr>
        <w:fldChar w:fldCharType="end"/>
      </w:r>
      <w:r>
        <w:rPr>
          <w:sz w:val="28"/>
          <w:szCs w:val="28"/>
        </w:rPr>
        <w:t> Российской Федерации о налогах и сборах.</w:t>
      </w:r>
    </w:p>
    <w:p w14:paraId="5D30285F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утратившими силу решения Совета депутатов муниципального образования Ленинский сельсовет от 17 апреля 2012 года    № 79 «О порядке признания безнадежными к взысканию и списание недоимки и задолженности по пеням и по местным налогам, уплачиваемым физическими лицами».</w:t>
      </w:r>
    </w:p>
    <w:p w14:paraId="0C850CC4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исполнением решения оставляю за собой.</w:t>
      </w:r>
    </w:p>
    <w:p w14:paraId="61AAE84E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решение вступает в силу после подписания и подлежит размещению в сети Интернет на официальном сайте администрации муниципального образования Ленинский сельсовет Оренбургского района Оренбургской области:</w:t>
      </w:r>
      <w:r>
        <w:rPr>
          <w:sz w:val="28"/>
          <w:szCs w:val="28"/>
        </w:rPr>
        <w:tab/>
      </w:r>
      <w:r>
        <w:rPr>
          <w:sz w:val="28"/>
          <w:szCs w:val="28"/>
        </w:rPr>
        <w:t>lenina-56.ru.</w:t>
      </w:r>
    </w:p>
    <w:p w14:paraId="4A7EB418">
      <w:pPr>
        <w:ind w:right="-2" w:firstLine="709"/>
        <w:jc w:val="both"/>
        <w:rPr>
          <w:sz w:val="28"/>
          <w:szCs w:val="28"/>
        </w:rPr>
      </w:pPr>
    </w:p>
    <w:p w14:paraId="6DA870F6">
      <w:pPr>
        <w:ind w:right="-2" w:firstLine="709"/>
        <w:jc w:val="both"/>
        <w:rPr>
          <w:sz w:val="28"/>
          <w:szCs w:val="28"/>
        </w:rPr>
      </w:pPr>
    </w:p>
    <w:p w14:paraId="661950F0">
      <w:pPr>
        <w:tabs>
          <w:tab w:val="left" w:pos="510"/>
        </w:tabs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                                         А.Г. Табаков</w:t>
      </w:r>
    </w:p>
    <w:p w14:paraId="2FE4FA75">
      <w:pPr>
        <w:tabs>
          <w:tab w:val="left" w:pos="510"/>
        </w:tabs>
        <w:rPr>
          <w:sz w:val="28"/>
          <w:szCs w:val="28"/>
        </w:rPr>
      </w:pPr>
      <w:r>
        <w:rPr>
          <w:sz w:val="28"/>
          <w:szCs w:val="28"/>
        </w:rPr>
        <w:t>Председатель Совета депутатов</w:t>
      </w:r>
    </w:p>
    <w:p w14:paraId="7F1B5C33">
      <w:pPr>
        <w:ind w:right="-2" w:firstLine="709"/>
        <w:jc w:val="both"/>
        <w:rPr>
          <w:sz w:val="28"/>
          <w:szCs w:val="28"/>
        </w:rPr>
      </w:pPr>
    </w:p>
    <w:p w14:paraId="38AED65A">
      <w:pPr>
        <w:ind w:right="-2" w:firstLine="709"/>
        <w:jc w:val="both"/>
        <w:rPr>
          <w:sz w:val="28"/>
          <w:szCs w:val="28"/>
        </w:rPr>
      </w:pPr>
    </w:p>
    <w:p w14:paraId="1EDAD928">
      <w:pPr>
        <w:jc w:val="both"/>
        <w:rPr>
          <w:sz w:val="24"/>
          <w:szCs w:val="24"/>
        </w:rPr>
      </w:pPr>
    </w:p>
    <w:p w14:paraId="709ACDB8">
      <w:pPr>
        <w:jc w:val="both"/>
        <w:rPr>
          <w:sz w:val="24"/>
          <w:szCs w:val="24"/>
        </w:rPr>
      </w:pPr>
    </w:p>
    <w:p w14:paraId="343E5C10">
      <w:pPr>
        <w:jc w:val="both"/>
        <w:rPr>
          <w:sz w:val="24"/>
          <w:szCs w:val="24"/>
        </w:rPr>
      </w:pPr>
    </w:p>
    <w:p w14:paraId="28F79AC0">
      <w:pPr>
        <w:jc w:val="both"/>
        <w:rPr>
          <w:sz w:val="24"/>
          <w:szCs w:val="24"/>
        </w:rPr>
      </w:pPr>
    </w:p>
    <w:p w14:paraId="601ABF5C">
      <w:pPr>
        <w:jc w:val="both"/>
        <w:rPr>
          <w:sz w:val="24"/>
          <w:szCs w:val="24"/>
        </w:rPr>
      </w:pPr>
    </w:p>
    <w:p w14:paraId="62EEA7C9">
      <w:pPr>
        <w:jc w:val="both"/>
        <w:rPr>
          <w:sz w:val="24"/>
          <w:szCs w:val="24"/>
        </w:rPr>
      </w:pPr>
    </w:p>
    <w:p w14:paraId="225D0A65">
      <w:pPr>
        <w:jc w:val="both"/>
        <w:rPr>
          <w:sz w:val="24"/>
          <w:szCs w:val="24"/>
        </w:rPr>
      </w:pPr>
    </w:p>
    <w:p w14:paraId="2ADB4139">
      <w:pPr>
        <w:jc w:val="both"/>
        <w:rPr>
          <w:sz w:val="24"/>
          <w:szCs w:val="24"/>
        </w:rPr>
      </w:pPr>
    </w:p>
    <w:p w14:paraId="46CE452C">
      <w:pPr>
        <w:jc w:val="both"/>
        <w:rPr>
          <w:sz w:val="24"/>
          <w:szCs w:val="24"/>
        </w:rPr>
      </w:pPr>
    </w:p>
    <w:p w14:paraId="746F6815">
      <w:pPr>
        <w:jc w:val="both"/>
        <w:rPr>
          <w:sz w:val="24"/>
          <w:szCs w:val="24"/>
        </w:rPr>
      </w:pPr>
    </w:p>
    <w:p w14:paraId="64008FD3">
      <w:pPr>
        <w:jc w:val="both"/>
        <w:rPr>
          <w:sz w:val="24"/>
          <w:szCs w:val="24"/>
        </w:rPr>
      </w:pPr>
    </w:p>
    <w:p w14:paraId="1B7406DF">
      <w:pPr>
        <w:jc w:val="both"/>
        <w:rPr>
          <w:sz w:val="24"/>
          <w:szCs w:val="24"/>
        </w:rPr>
      </w:pPr>
    </w:p>
    <w:p w14:paraId="6FC2BBCE">
      <w:pPr>
        <w:jc w:val="both"/>
        <w:rPr>
          <w:sz w:val="24"/>
          <w:szCs w:val="24"/>
        </w:rPr>
      </w:pPr>
    </w:p>
    <w:p w14:paraId="53C2D1F5">
      <w:pPr>
        <w:jc w:val="both"/>
        <w:rPr>
          <w:sz w:val="24"/>
          <w:szCs w:val="24"/>
        </w:rPr>
      </w:pPr>
    </w:p>
    <w:p w14:paraId="4D13221C">
      <w:pPr>
        <w:jc w:val="both"/>
        <w:rPr>
          <w:sz w:val="24"/>
          <w:szCs w:val="24"/>
        </w:rPr>
      </w:pPr>
    </w:p>
    <w:p w14:paraId="183F19DF">
      <w:pPr>
        <w:jc w:val="both"/>
        <w:rPr>
          <w:sz w:val="24"/>
          <w:szCs w:val="24"/>
        </w:rPr>
      </w:pPr>
    </w:p>
    <w:p w14:paraId="311A624D">
      <w:pPr>
        <w:jc w:val="both"/>
        <w:rPr>
          <w:sz w:val="24"/>
          <w:szCs w:val="24"/>
        </w:rPr>
      </w:pPr>
    </w:p>
    <w:p w14:paraId="1F62F6AF">
      <w:pPr>
        <w:jc w:val="both"/>
        <w:rPr>
          <w:sz w:val="24"/>
          <w:szCs w:val="24"/>
        </w:rPr>
      </w:pPr>
    </w:p>
    <w:p w14:paraId="7EFECF6F">
      <w:pPr>
        <w:jc w:val="both"/>
        <w:rPr>
          <w:sz w:val="24"/>
          <w:szCs w:val="24"/>
        </w:rPr>
      </w:pPr>
    </w:p>
    <w:p w14:paraId="1AAD6154">
      <w:pPr>
        <w:jc w:val="both"/>
        <w:rPr>
          <w:sz w:val="24"/>
          <w:szCs w:val="24"/>
        </w:rPr>
      </w:pPr>
    </w:p>
    <w:p w14:paraId="1A9CEF8A">
      <w:pPr>
        <w:jc w:val="both"/>
        <w:rPr>
          <w:sz w:val="24"/>
          <w:szCs w:val="24"/>
        </w:rPr>
      </w:pPr>
    </w:p>
    <w:p w14:paraId="7145CC68">
      <w:pPr>
        <w:jc w:val="both"/>
        <w:rPr>
          <w:sz w:val="24"/>
          <w:szCs w:val="24"/>
        </w:rPr>
      </w:pPr>
    </w:p>
    <w:p w14:paraId="66090A08">
      <w:pPr>
        <w:jc w:val="both"/>
        <w:rPr>
          <w:sz w:val="24"/>
          <w:szCs w:val="24"/>
        </w:rPr>
      </w:pPr>
    </w:p>
    <w:p w14:paraId="5B82E8CE">
      <w:pPr>
        <w:jc w:val="both"/>
        <w:rPr>
          <w:sz w:val="24"/>
          <w:szCs w:val="24"/>
        </w:rPr>
      </w:pPr>
    </w:p>
    <w:p w14:paraId="7BA532B1">
      <w:pPr>
        <w:jc w:val="both"/>
        <w:rPr>
          <w:sz w:val="24"/>
          <w:szCs w:val="24"/>
        </w:rPr>
      </w:pPr>
    </w:p>
    <w:p w14:paraId="0CA914CA">
      <w:pPr>
        <w:jc w:val="both"/>
        <w:rPr>
          <w:sz w:val="24"/>
          <w:szCs w:val="24"/>
        </w:rPr>
      </w:pPr>
    </w:p>
    <w:p w14:paraId="63D6A9CE">
      <w:pPr>
        <w:jc w:val="both"/>
        <w:rPr>
          <w:sz w:val="24"/>
          <w:szCs w:val="24"/>
        </w:rPr>
      </w:pPr>
    </w:p>
    <w:p w14:paraId="37A61CE8">
      <w:pPr>
        <w:jc w:val="both"/>
        <w:rPr>
          <w:sz w:val="24"/>
          <w:szCs w:val="24"/>
        </w:rPr>
      </w:pPr>
    </w:p>
    <w:p w14:paraId="4E1F721D">
      <w:pPr>
        <w:jc w:val="both"/>
        <w:rPr>
          <w:sz w:val="24"/>
          <w:szCs w:val="24"/>
        </w:rPr>
      </w:pPr>
    </w:p>
    <w:p w14:paraId="31CAC722">
      <w:pPr>
        <w:jc w:val="both"/>
        <w:rPr>
          <w:sz w:val="24"/>
          <w:szCs w:val="24"/>
        </w:rPr>
      </w:pPr>
    </w:p>
    <w:p w14:paraId="6DAA2959">
      <w:pPr>
        <w:jc w:val="both"/>
        <w:rPr>
          <w:sz w:val="24"/>
          <w:szCs w:val="24"/>
        </w:rPr>
      </w:pPr>
    </w:p>
    <w:p w14:paraId="77702500">
      <w:pPr>
        <w:jc w:val="both"/>
        <w:rPr>
          <w:sz w:val="24"/>
          <w:szCs w:val="24"/>
        </w:rPr>
      </w:pPr>
    </w:p>
    <w:p w14:paraId="71FF972F">
      <w:pPr>
        <w:jc w:val="both"/>
        <w:rPr>
          <w:sz w:val="24"/>
          <w:szCs w:val="24"/>
        </w:rPr>
      </w:pPr>
    </w:p>
    <w:p w14:paraId="3E4BB37D">
      <w:pPr>
        <w:jc w:val="both"/>
        <w:rPr>
          <w:sz w:val="24"/>
          <w:szCs w:val="24"/>
        </w:rPr>
      </w:pPr>
    </w:p>
    <w:p w14:paraId="49DF2399">
      <w:pPr>
        <w:jc w:val="both"/>
        <w:rPr>
          <w:sz w:val="24"/>
          <w:szCs w:val="24"/>
        </w:rPr>
      </w:pPr>
    </w:p>
    <w:p w14:paraId="352BA5D3">
      <w:pPr>
        <w:jc w:val="both"/>
        <w:rPr>
          <w:sz w:val="24"/>
          <w:szCs w:val="24"/>
        </w:rPr>
      </w:pPr>
    </w:p>
    <w:p w14:paraId="1B7D12CE">
      <w:pPr>
        <w:jc w:val="both"/>
        <w:rPr>
          <w:sz w:val="24"/>
          <w:szCs w:val="24"/>
        </w:rPr>
      </w:pPr>
    </w:p>
    <w:p w14:paraId="580989B9">
      <w:pPr>
        <w:jc w:val="both"/>
        <w:rPr>
          <w:sz w:val="24"/>
          <w:szCs w:val="24"/>
        </w:rPr>
      </w:pPr>
    </w:p>
    <w:p w14:paraId="4CB13546">
      <w:pPr>
        <w:jc w:val="both"/>
        <w:rPr>
          <w:sz w:val="24"/>
          <w:szCs w:val="24"/>
        </w:rPr>
      </w:pPr>
    </w:p>
    <w:p w14:paraId="55EEA4DF">
      <w:pPr>
        <w:jc w:val="both"/>
        <w:rPr>
          <w:sz w:val="24"/>
          <w:szCs w:val="24"/>
        </w:rPr>
      </w:pPr>
    </w:p>
    <w:p w14:paraId="4F30FF07">
      <w:pPr>
        <w:jc w:val="both"/>
        <w:rPr>
          <w:sz w:val="24"/>
          <w:szCs w:val="24"/>
        </w:rPr>
      </w:pPr>
    </w:p>
    <w:p w14:paraId="6087EC10">
      <w:pPr>
        <w:ind w:left="1440" w:hanging="1440"/>
        <w:jc w:val="both"/>
        <w:rPr>
          <w:sz w:val="24"/>
          <w:szCs w:val="24"/>
        </w:rPr>
      </w:pPr>
      <w:r>
        <w:rPr>
          <w:sz w:val="24"/>
          <w:szCs w:val="24"/>
        </w:rPr>
        <w:t>Разослано: финансовому управлению района, МИФНС №7 по Оренбургской области, прокуратуре района, бухгалтерии сельсовета, в дело</w:t>
      </w:r>
    </w:p>
    <w:p w14:paraId="600111B9">
      <w:pPr>
        <w:ind w:left="1418" w:hanging="1418"/>
        <w:jc w:val="both"/>
        <w:rPr>
          <w:sz w:val="24"/>
          <w:szCs w:val="24"/>
        </w:rPr>
      </w:pPr>
    </w:p>
    <w:p w14:paraId="6CCA38C2">
      <w:pPr>
        <w:tabs>
          <w:tab w:val="center" w:pos="4677"/>
          <w:tab w:val="right" w:pos="9355"/>
        </w:tabs>
        <w:ind w:firstLine="709"/>
        <w:rPr>
          <w:sz w:val="24"/>
          <w:szCs w:val="24"/>
        </w:rPr>
      </w:pPr>
    </w:p>
    <w:p w14:paraId="4ABD0AEB">
      <w:pPr>
        <w:tabs>
          <w:tab w:val="center" w:pos="4677"/>
          <w:tab w:val="right" w:pos="9355"/>
        </w:tabs>
        <w:ind w:firstLine="709"/>
        <w:rPr>
          <w:sz w:val="28"/>
          <w:szCs w:val="28"/>
        </w:rPr>
      </w:pPr>
    </w:p>
    <w:p w14:paraId="0E4A203D">
      <w:pPr>
        <w:tabs>
          <w:tab w:val="center" w:pos="4677"/>
          <w:tab w:val="right" w:pos="9355"/>
        </w:tabs>
        <w:ind w:firstLine="709"/>
        <w:rPr>
          <w:sz w:val="28"/>
          <w:szCs w:val="28"/>
        </w:rPr>
      </w:pPr>
    </w:p>
    <w:sectPr>
      <w:type w:val="continuous"/>
      <w:pgSz w:w="11906" w:h="16838"/>
      <w:pgMar w:top="1134" w:right="850" w:bottom="1134" w:left="1701" w:header="709" w:footer="709" w:gutter="0"/>
      <w:cols w:space="720" w:num="1"/>
      <w:docGrid w:linePitch="27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CC"/>
    <w:family w:val="roman"/>
    <w:pitch w:val="default"/>
    <w:sig w:usb0="E00002FF" w:usb1="400004FF" w:usb2="00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Verdana">
    <w:panose1 w:val="020B0604030504040204"/>
    <w:charset w:val="CC"/>
    <w:family w:val="swiss"/>
    <w:pitch w:val="default"/>
    <w:sig w:usb0="A1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nforcement="0"/>
  <w:defaultTabStop w:val="708"/>
  <w:drawingGridHorizontalSpacing w:val="10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042CC"/>
    <w:rsid w:val="000149C4"/>
    <w:rsid w:val="00021387"/>
    <w:rsid w:val="00026406"/>
    <w:rsid w:val="00051C1C"/>
    <w:rsid w:val="00064A04"/>
    <w:rsid w:val="0009494D"/>
    <w:rsid w:val="000A0EC6"/>
    <w:rsid w:val="000A2928"/>
    <w:rsid w:val="000B0F83"/>
    <w:rsid w:val="000C0D3B"/>
    <w:rsid w:val="000D6289"/>
    <w:rsid w:val="000E4790"/>
    <w:rsid w:val="000F0D84"/>
    <w:rsid w:val="000F664C"/>
    <w:rsid w:val="000F6E3D"/>
    <w:rsid w:val="00120015"/>
    <w:rsid w:val="001351B7"/>
    <w:rsid w:val="00143BD4"/>
    <w:rsid w:val="00150482"/>
    <w:rsid w:val="00152227"/>
    <w:rsid w:val="00155399"/>
    <w:rsid w:val="0015694D"/>
    <w:rsid w:val="00165E2A"/>
    <w:rsid w:val="001C6738"/>
    <w:rsid w:val="001E0C1C"/>
    <w:rsid w:val="001F29ED"/>
    <w:rsid w:val="001F2D0B"/>
    <w:rsid w:val="002063A4"/>
    <w:rsid w:val="00223FCB"/>
    <w:rsid w:val="002278CB"/>
    <w:rsid w:val="00244050"/>
    <w:rsid w:val="002465FD"/>
    <w:rsid w:val="002612C6"/>
    <w:rsid w:val="00261C67"/>
    <w:rsid w:val="002671C1"/>
    <w:rsid w:val="002773D7"/>
    <w:rsid w:val="00286513"/>
    <w:rsid w:val="002B347D"/>
    <w:rsid w:val="002C3A7D"/>
    <w:rsid w:val="002C62B0"/>
    <w:rsid w:val="002D21D1"/>
    <w:rsid w:val="002F76B5"/>
    <w:rsid w:val="003114F8"/>
    <w:rsid w:val="0031241A"/>
    <w:rsid w:val="003219FD"/>
    <w:rsid w:val="00334D6E"/>
    <w:rsid w:val="00335292"/>
    <w:rsid w:val="0034375B"/>
    <w:rsid w:val="00353009"/>
    <w:rsid w:val="003570E4"/>
    <w:rsid w:val="00361A1B"/>
    <w:rsid w:val="00362D66"/>
    <w:rsid w:val="00366B39"/>
    <w:rsid w:val="00394790"/>
    <w:rsid w:val="00395879"/>
    <w:rsid w:val="00396536"/>
    <w:rsid w:val="003A241E"/>
    <w:rsid w:val="003A2436"/>
    <w:rsid w:val="003C1A11"/>
    <w:rsid w:val="003C639A"/>
    <w:rsid w:val="003D3F69"/>
    <w:rsid w:val="003D7125"/>
    <w:rsid w:val="003F2C37"/>
    <w:rsid w:val="003F3CAB"/>
    <w:rsid w:val="00401FB3"/>
    <w:rsid w:val="004042CC"/>
    <w:rsid w:val="00421E45"/>
    <w:rsid w:val="00425A74"/>
    <w:rsid w:val="004266A2"/>
    <w:rsid w:val="0043229E"/>
    <w:rsid w:val="00434C3C"/>
    <w:rsid w:val="0044489F"/>
    <w:rsid w:val="004513C3"/>
    <w:rsid w:val="00451D16"/>
    <w:rsid w:val="004607A1"/>
    <w:rsid w:val="004644F5"/>
    <w:rsid w:val="004725E2"/>
    <w:rsid w:val="004902DA"/>
    <w:rsid w:val="004B5CD1"/>
    <w:rsid w:val="004C34BE"/>
    <w:rsid w:val="004D25B1"/>
    <w:rsid w:val="004D7A32"/>
    <w:rsid w:val="004E7339"/>
    <w:rsid w:val="00506CAF"/>
    <w:rsid w:val="0051798E"/>
    <w:rsid w:val="005325D6"/>
    <w:rsid w:val="0054277D"/>
    <w:rsid w:val="00543615"/>
    <w:rsid w:val="0054662F"/>
    <w:rsid w:val="005471DA"/>
    <w:rsid w:val="00557A28"/>
    <w:rsid w:val="00562B87"/>
    <w:rsid w:val="0057287B"/>
    <w:rsid w:val="0057385A"/>
    <w:rsid w:val="00580C1E"/>
    <w:rsid w:val="00583049"/>
    <w:rsid w:val="00585C05"/>
    <w:rsid w:val="005872D1"/>
    <w:rsid w:val="005A0731"/>
    <w:rsid w:val="005A22AE"/>
    <w:rsid w:val="005C2172"/>
    <w:rsid w:val="005C2B59"/>
    <w:rsid w:val="005C2F99"/>
    <w:rsid w:val="005C786F"/>
    <w:rsid w:val="005D729F"/>
    <w:rsid w:val="005E3814"/>
    <w:rsid w:val="005E73BD"/>
    <w:rsid w:val="005F6ECE"/>
    <w:rsid w:val="006056FD"/>
    <w:rsid w:val="00617001"/>
    <w:rsid w:val="00617823"/>
    <w:rsid w:val="0062108C"/>
    <w:rsid w:val="00621CF9"/>
    <w:rsid w:val="0062330B"/>
    <w:rsid w:val="00624261"/>
    <w:rsid w:val="00630378"/>
    <w:rsid w:val="0063151E"/>
    <w:rsid w:val="0064162D"/>
    <w:rsid w:val="00641D23"/>
    <w:rsid w:val="00644695"/>
    <w:rsid w:val="00651F60"/>
    <w:rsid w:val="00654FBA"/>
    <w:rsid w:val="00656C31"/>
    <w:rsid w:val="0066734B"/>
    <w:rsid w:val="006851F9"/>
    <w:rsid w:val="00686E5A"/>
    <w:rsid w:val="00697956"/>
    <w:rsid w:val="006A3057"/>
    <w:rsid w:val="006A3A9C"/>
    <w:rsid w:val="006B1BC8"/>
    <w:rsid w:val="006C12A4"/>
    <w:rsid w:val="006C270F"/>
    <w:rsid w:val="006F0874"/>
    <w:rsid w:val="006F6C1F"/>
    <w:rsid w:val="00706B21"/>
    <w:rsid w:val="007138A4"/>
    <w:rsid w:val="007235D2"/>
    <w:rsid w:val="007266CA"/>
    <w:rsid w:val="00734885"/>
    <w:rsid w:val="00745227"/>
    <w:rsid w:val="0074617F"/>
    <w:rsid w:val="00754816"/>
    <w:rsid w:val="0076446C"/>
    <w:rsid w:val="00767B1D"/>
    <w:rsid w:val="00774B28"/>
    <w:rsid w:val="00786D8F"/>
    <w:rsid w:val="00797A03"/>
    <w:rsid w:val="007A0B5B"/>
    <w:rsid w:val="007A34B0"/>
    <w:rsid w:val="007E7CD5"/>
    <w:rsid w:val="008024F9"/>
    <w:rsid w:val="008100AE"/>
    <w:rsid w:val="00833FCF"/>
    <w:rsid w:val="0083544B"/>
    <w:rsid w:val="0084396E"/>
    <w:rsid w:val="00843E2B"/>
    <w:rsid w:val="008465A8"/>
    <w:rsid w:val="00866096"/>
    <w:rsid w:val="00875B9A"/>
    <w:rsid w:val="008852FF"/>
    <w:rsid w:val="00891692"/>
    <w:rsid w:val="008A1A59"/>
    <w:rsid w:val="008A2590"/>
    <w:rsid w:val="008A3778"/>
    <w:rsid w:val="008A3B20"/>
    <w:rsid w:val="008D6A97"/>
    <w:rsid w:val="008E50A1"/>
    <w:rsid w:val="008E6B6F"/>
    <w:rsid w:val="0091141E"/>
    <w:rsid w:val="00945F48"/>
    <w:rsid w:val="00947B43"/>
    <w:rsid w:val="00950342"/>
    <w:rsid w:val="00966C70"/>
    <w:rsid w:val="00972C39"/>
    <w:rsid w:val="009803A0"/>
    <w:rsid w:val="009900F6"/>
    <w:rsid w:val="00992CEC"/>
    <w:rsid w:val="00993625"/>
    <w:rsid w:val="009A3669"/>
    <w:rsid w:val="009B51EF"/>
    <w:rsid w:val="009C069B"/>
    <w:rsid w:val="009C1A99"/>
    <w:rsid w:val="009C5A02"/>
    <w:rsid w:val="009C7AA8"/>
    <w:rsid w:val="009C7C05"/>
    <w:rsid w:val="00A03207"/>
    <w:rsid w:val="00A036F9"/>
    <w:rsid w:val="00A10579"/>
    <w:rsid w:val="00A11F18"/>
    <w:rsid w:val="00A128F2"/>
    <w:rsid w:val="00A12FA2"/>
    <w:rsid w:val="00A13FBC"/>
    <w:rsid w:val="00A16F89"/>
    <w:rsid w:val="00A176D2"/>
    <w:rsid w:val="00A2096A"/>
    <w:rsid w:val="00A24C5A"/>
    <w:rsid w:val="00A262B9"/>
    <w:rsid w:val="00A45E47"/>
    <w:rsid w:val="00A512FB"/>
    <w:rsid w:val="00A53711"/>
    <w:rsid w:val="00A62154"/>
    <w:rsid w:val="00A72DA1"/>
    <w:rsid w:val="00A73520"/>
    <w:rsid w:val="00AB6B74"/>
    <w:rsid w:val="00AD367E"/>
    <w:rsid w:val="00AE205A"/>
    <w:rsid w:val="00AE3768"/>
    <w:rsid w:val="00AF483F"/>
    <w:rsid w:val="00B134D1"/>
    <w:rsid w:val="00B31F8E"/>
    <w:rsid w:val="00B50862"/>
    <w:rsid w:val="00B5221C"/>
    <w:rsid w:val="00B632C2"/>
    <w:rsid w:val="00B73256"/>
    <w:rsid w:val="00BA1C19"/>
    <w:rsid w:val="00BB3A93"/>
    <w:rsid w:val="00BD209F"/>
    <w:rsid w:val="00BD3745"/>
    <w:rsid w:val="00BD6561"/>
    <w:rsid w:val="00BE2E85"/>
    <w:rsid w:val="00BE590C"/>
    <w:rsid w:val="00BE65F4"/>
    <w:rsid w:val="00BF3B43"/>
    <w:rsid w:val="00C0015E"/>
    <w:rsid w:val="00C1204D"/>
    <w:rsid w:val="00C13E1E"/>
    <w:rsid w:val="00C2419E"/>
    <w:rsid w:val="00C636C1"/>
    <w:rsid w:val="00C65040"/>
    <w:rsid w:val="00C83AD1"/>
    <w:rsid w:val="00C846C8"/>
    <w:rsid w:val="00C8682D"/>
    <w:rsid w:val="00C9654B"/>
    <w:rsid w:val="00CB7727"/>
    <w:rsid w:val="00CC1DBB"/>
    <w:rsid w:val="00CD00C1"/>
    <w:rsid w:val="00CE2D9D"/>
    <w:rsid w:val="00CE4B14"/>
    <w:rsid w:val="00CF6802"/>
    <w:rsid w:val="00D000B9"/>
    <w:rsid w:val="00D1530F"/>
    <w:rsid w:val="00D16C3B"/>
    <w:rsid w:val="00D1757C"/>
    <w:rsid w:val="00D250D6"/>
    <w:rsid w:val="00D31FA0"/>
    <w:rsid w:val="00D35E3C"/>
    <w:rsid w:val="00D36310"/>
    <w:rsid w:val="00D40C7E"/>
    <w:rsid w:val="00D4105D"/>
    <w:rsid w:val="00D56CED"/>
    <w:rsid w:val="00D70D9F"/>
    <w:rsid w:val="00D726E4"/>
    <w:rsid w:val="00D806E5"/>
    <w:rsid w:val="00DB0621"/>
    <w:rsid w:val="00DC1D30"/>
    <w:rsid w:val="00DD1CA2"/>
    <w:rsid w:val="00DF3EBF"/>
    <w:rsid w:val="00E2064C"/>
    <w:rsid w:val="00E20FE3"/>
    <w:rsid w:val="00E366A6"/>
    <w:rsid w:val="00E40233"/>
    <w:rsid w:val="00E441BA"/>
    <w:rsid w:val="00E442F7"/>
    <w:rsid w:val="00E46299"/>
    <w:rsid w:val="00E4737B"/>
    <w:rsid w:val="00E60FA0"/>
    <w:rsid w:val="00E6284F"/>
    <w:rsid w:val="00E628CC"/>
    <w:rsid w:val="00E7327D"/>
    <w:rsid w:val="00EB29FA"/>
    <w:rsid w:val="00ED2ED9"/>
    <w:rsid w:val="00EE711F"/>
    <w:rsid w:val="00EF451D"/>
    <w:rsid w:val="00F00D62"/>
    <w:rsid w:val="00F01DF0"/>
    <w:rsid w:val="00F10328"/>
    <w:rsid w:val="00F10B6B"/>
    <w:rsid w:val="00F31141"/>
    <w:rsid w:val="00F3419D"/>
    <w:rsid w:val="00F4253E"/>
    <w:rsid w:val="00F5111A"/>
    <w:rsid w:val="00F67693"/>
    <w:rsid w:val="00F733F9"/>
    <w:rsid w:val="00F7626B"/>
    <w:rsid w:val="00F85910"/>
    <w:rsid w:val="00F903DD"/>
    <w:rsid w:val="00F90C30"/>
    <w:rsid w:val="00F91640"/>
    <w:rsid w:val="00F95524"/>
    <w:rsid w:val="00FA5FA0"/>
    <w:rsid w:val="00FA639F"/>
    <w:rsid w:val="00FC34BF"/>
    <w:rsid w:val="00FD6D7C"/>
    <w:rsid w:val="00FD71F2"/>
    <w:rsid w:val="00FE3EF2"/>
    <w:rsid w:val="00FE5BCB"/>
    <w:rsid w:val="00FE7EE0"/>
    <w:rsid w:val="303C0540"/>
    <w:rsid w:val="32B21F19"/>
    <w:rsid w:val="67D75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paragraph" w:styleId="2">
    <w:name w:val="heading 1"/>
    <w:basedOn w:val="1"/>
    <w:next w:val="1"/>
    <w:link w:val="31"/>
    <w:qFormat/>
    <w:uiPriority w:val="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2"/>
    <w:basedOn w:val="1"/>
    <w:next w:val="1"/>
    <w:link w:val="32"/>
    <w:qFormat/>
    <w:uiPriority w:val="0"/>
    <w:pPr>
      <w:keepNext/>
      <w:outlineLvl w:val="1"/>
    </w:pPr>
    <w:rPr>
      <w:b/>
      <w:snapToGrid w:val="0"/>
      <w:color w:val="000000"/>
      <w:sz w:val="26"/>
    </w:rPr>
  </w:style>
  <w:style w:type="paragraph" w:styleId="4">
    <w:name w:val="heading 3"/>
    <w:basedOn w:val="1"/>
    <w:next w:val="1"/>
    <w:link w:val="33"/>
    <w:qFormat/>
    <w:uiPriority w:val="0"/>
    <w:pPr>
      <w:keepNext/>
      <w:autoSpaceDE w:val="0"/>
      <w:autoSpaceDN w:val="0"/>
      <w:adjustRightInd w:val="0"/>
      <w:outlineLvl w:val="2"/>
    </w:pPr>
    <w:rPr>
      <w:b/>
      <w:bCs/>
      <w:color w:val="000000"/>
      <w:sz w:val="22"/>
      <w:szCs w:val="24"/>
    </w:rPr>
  </w:style>
  <w:style w:type="paragraph" w:styleId="5">
    <w:name w:val="heading 4"/>
    <w:basedOn w:val="1"/>
    <w:next w:val="1"/>
    <w:link w:val="34"/>
    <w:qFormat/>
    <w:uiPriority w:val="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6">
    <w:name w:val="heading 5"/>
    <w:basedOn w:val="1"/>
    <w:next w:val="1"/>
    <w:link w:val="35"/>
    <w:qFormat/>
    <w:uiPriority w:val="0"/>
    <w:pPr>
      <w:keepNext/>
      <w:ind w:firstLine="708"/>
      <w:jc w:val="both"/>
      <w:outlineLvl w:val="4"/>
    </w:pPr>
    <w:rPr>
      <w:b/>
      <w:bCs/>
      <w:sz w:val="28"/>
    </w:rPr>
  </w:style>
  <w:style w:type="paragraph" w:styleId="7">
    <w:name w:val="heading 6"/>
    <w:basedOn w:val="1"/>
    <w:next w:val="1"/>
    <w:link w:val="36"/>
    <w:qFormat/>
    <w:uiPriority w:val="0"/>
    <w:pPr>
      <w:keepNext/>
      <w:outlineLvl w:val="5"/>
    </w:pPr>
    <w:rPr>
      <w:b/>
      <w:bCs/>
      <w:snapToGrid w:val="0"/>
      <w:color w:val="000000"/>
      <w:sz w:val="28"/>
    </w:rPr>
  </w:style>
  <w:style w:type="paragraph" w:styleId="8">
    <w:name w:val="heading 7"/>
    <w:basedOn w:val="1"/>
    <w:next w:val="1"/>
    <w:link w:val="37"/>
    <w:qFormat/>
    <w:uiPriority w:val="0"/>
    <w:pPr>
      <w:keepNext/>
      <w:autoSpaceDE w:val="0"/>
      <w:autoSpaceDN w:val="0"/>
      <w:adjustRightInd w:val="0"/>
      <w:outlineLvl w:val="6"/>
    </w:pPr>
    <w:rPr>
      <w:i/>
      <w:iCs/>
      <w:color w:val="000000"/>
      <w:sz w:val="22"/>
      <w:szCs w:val="2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FollowedHyperlink"/>
    <w:unhideWhenUsed/>
    <w:qFormat/>
    <w:uiPriority w:val="99"/>
    <w:rPr>
      <w:color w:val="800080"/>
      <w:u w:val="single"/>
    </w:rPr>
  </w:style>
  <w:style w:type="character" w:styleId="12">
    <w:name w:val="annotation reference"/>
    <w:qFormat/>
    <w:uiPriority w:val="0"/>
    <w:rPr>
      <w:sz w:val="16"/>
      <w:szCs w:val="16"/>
    </w:rPr>
  </w:style>
  <w:style w:type="character" w:styleId="13">
    <w:name w:val="Hyperlink"/>
    <w:unhideWhenUsed/>
    <w:qFormat/>
    <w:uiPriority w:val="99"/>
    <w:rPr>
      <w:color w:val="0000FF"/>
      <w:u w:val="single"/>
    </w:rPr>
  </w:style>
  <w:style w:type="character" w:styleId="14">
    <w:name w:val="page number"/>
    <w:basedOn w:val="9"/>
    <w:qFormat/>
    <w:uiPriority w:val="0"/>
  </w:style>
  <w:style w:type="paragraph" w:styleId="15">
    <w:name w:val="Balloon Text"/>
    <w:basedOn w:val="1"/>
    <w:link w:val="54"/>
    <w:qFormat/>
    <w:uiPriority w:val="0"/>
    <w:rPr>
      <w:rFonts w:ascii="Tahoma" w:hAnsi="Tahoma" w:cs="Tahoma"/>
      <w:sz w:val="16"/>
      <w:szCs w:val="16"/>
    </w:rPr>
  </w:style>
  <w:style w:type="paragraph" w:styleId="16">
    <w:name w:val="Body Text 2"/>
    <w:basedOn w:val="1"/>
    <w:link w:val="51"/>
    <w:qFormat/>
    <w:uiPriority w:val="0"/>
    <w:pPr>
      <w:jc w:val="center"/>
    </w:pPr>
    <w:rPr>
      <w:sz w:val="24"/>
    </w:rPr>
  </w:style>
  <w:style w:type="paragraph" w:styleId="17">
    <w:name w:val="Plain Text"/>
    <w:basedOn w:val="1"/>
    <w:link w:val="40"/>
    <w:qFormat/>
    <w:uiPriority w:val="0"/>
    <w:rPr>
      <w:rFonts w:ascii="Courier New" w:hAnsi="Courier New"/>
    </w:rPr>
  </w:style>
  <w:style w:type="paragraph" w:styleId="18">
    <w:name w:val="Body Text Indent 3"/>
    <w:basedOn w:val="1"/>
    <w:link w:val="52"/>
    <w:qFormat/>
    <w:uiPriority w:val="0"/>
    <w:pPr>
      <w:ind w:firstLine="709"/>
      <w:jc w:val="both"/>
    </w:pPr>
    <w:rPr>
      <w:b/>
      <w:sz w:val="28"/>
    </w:rPr>
  </w:style>
  <w:style w:type="paragraph" w:styleId="19">
    <w:name w:val="annotation text"/>
    <w:basedOn w:val="1"/>
    <w:link w:val="70"/>
    <w:qFormat/>
    <w:uiPriority w:val="0"/>
    <w:rPr>
      <w:lang w:val="en-US" w:eastAsia="en-US"/>
    </w:rPr>
  </w:style>
  <w:style w:type="paragraph" w:styleId="20">
    <w:name w:val="Document Map"/>
    <w:basedOn w:val="1"/>
    <w:link w:val="71"/>
    <w:qFormat/>
    <w:uiPriority w:val="0"/>
    <w:rPr>
      <w:rFonts w:ascii="Tahoma" w:hAnsi="Tahoma" w:cs="Tahoma"/>
      <w:sz w:val="16"/>
      <w:szCs w:val="16"/>
    </w:rPr>
  </w:style>
  <w:style w:type="paragraph" w:styleId="21">
    <w:name w:val="header"/>
    <w:basedOn w:val="1"/>
    <w:link w:val="44"/>
    <w:qFormat/>
    <w:uiPriority w:val="0"/>
    <w:pPr>
      <w:tabs>
        <w:tab w:val="center" w:pos="4677"/>
        <w:tab w:val="right" w:pos="9355"/>
      </w:tabs>
    </w:pPr>
  </w:style>
  <w:style w:type="paragraph" w:styleId="22">
    <w:name w:val="Body Text"/>
    <w:basedOn w:val="1"/>
    <w:link w:val="38"/>
    <w:qFormat/>
    <w:uiPriority w:val="0"/>
    <w:pPr>
      <w:jc w:val="both"/>
    </w:pPr>
    <w:rPr>
      <w:sz w:val="28"/>
    </w:rPr>
  </w:style>
  <w:style w:type="paragraph" w:styleId="23">
    <w:name w:val="Body Text Indent"/>
    <w:basedOn w:val="1"/>
    <w:link w:val="48"/>
    <w:qFormat/>
    <w:uiPriority w:val="0"/>
    <w:pPr>
      <w:tabs>
        <w:tab w:val="left" w:pos="0"/>
      </w:tabs>
      <w:ind w:firstLine="567"/>
      <w:jc w:val="both"/>
    </w:pPr>
    <w:rPr>
      <w:sz w:val="28"/>
    </w:rPr>
  </w:style>
  <w:style w:type="paragraph" w:styleId="24">
    <w:name w:val="Title"/>
    <w:basedOn w:val="1"/>
    <w:link w:val="53"/>
    <w:qFormat/>
    <w:uiPriority w:val="0"/>
    <w:pPr>
      <w:jc w:val="center"/>
    </w:pPr>
    <w:rPr>
      <w:sz w:val="32"/>
      <w:szCs w:val="24"/>
    </w:rPr>
  </w:style>
  <w:style w:type="paragraph" w:styleId="25">
    <w:name w:val="footer"/>
    <w:basedOn w:val="1"/>
    <w:link w:val="45"/>
    <w:qFormat/>
    <w:uiPriority w:val="0"/>
    <w:pPr>
      <w:tabs>
        <w:tab w:val="center" w:pos="4677"/>
        <w:tab w:val="right" w:pos="9355"/>
      </w:tabs>
    </w:pPr>
  </w:style>
  <w:style w:type="paragraph" w:styleId="26">
    <w:name w:val="Normal (Web)"/>
    <w:basedOn w:val="1"/>
    <w:qFormat/>
    <w:uiPriority w:val="99"/>
    <w:pPr>
      <w:spacing w:before="100" w:beforeAutospacing="1" w:after="100" w:afterAutospacing="1"/>
    </w:pPr>
    <w:rPr>
      <w:rFonts w:ascii="Arial Unicode MS" w:hAnsi="Arial Unicode MS" w:eastAsia="Arial Unicode MS" w:cs="Arial Unicode MS"/>
      <w:color w:val="000039"/>
      <w:sz w:val="24"/>
      <w:szCs w:val="24"/>
    </w:rPr>
  </w:style>
  <w:style w:type="paragraph" w:styleId="27">
    <w:name w:val="Body Text 3"/>
    <w:basedOn w:val="1"/>
    <w:link w:val="50"/>
    <w:qFormat/>
    <w:uiPriority w:val="0"/>
    <w:rPr>
      <w:sz w:val="24"/>
    </w:rPr>
  </w:style>
  <w:style w:type="paragraph" w:styleId="28">
    <w:name w:val="Body Text Indent 2"/>
    <w:basedOn w:val="1"/>
    <w:link w:val="49"/>
    <w:qFormat/>
    <w:uiPriority w:val="0"/>
    <w:pPr>
      <w:ind w:left="993" w:hanging="142"/>
      <w:jc w:val="both"/>
    </w:pPr>
    <w:rPr>
      <w:sz w:val="28"/>
    </w:rPr>
  </w:style>
  <w:style w:type="paragraph" w:styleId="29">
    <w:name w:val="Block Text"/>
    <w:basedOn w:val="1"/>
    <w:qFormat/>
    <w:uiPriority w:val="0"/>
    <w:pPr>
      <w:spacing w:before="150"/>
      <w:ind w:left="720" w:right="-5"/>
      <w:jc w:val="both"/>
    </w:pPr>
    <w:rPr>
      <w:sz w:val="28"/>
      <w:szCs w:val="24"/>
    </w:rPr>
  </w:style>
  <w:style w:type="table" w:styleId="30">
    <w:name w:val="Table Grid"/>
    <w:basedOn w:val="10"/>
    <w:qFormat/>
    <w:uiPriority w:val="0"/>
    <w:rPr>
      <w:rFonts w:ascii="Calibri" w:hAnsi="Calibri" w:eastAsia="Calibr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31">
    <w:name w:val="Заголовок 1 Знак"/>
    <w:link w:val="2"/>
    <w:qFormat/>
    <w:uiPriority w:val="0"/>
    <w:rPr>
      <w:rFonts w:ascii="Cambria" w:hAnsi="Cambria" w:eastAsia="Times New Roman" w:cs="Times New Roman"/>
      <w:b/>
      <w:bCs/>
      <w:kern w:val="32"/>
      <w:sz w:val="32"/>
      <w:szCs w:val="32"/>
    </w:rPr>
  </w:style>
  <w:style w:type="character" w:customStyle="1" w:styleId="32">
    <w:name w:val="Заголовок 2 Знак"/>
    <w:link w:val="3"/>
    <w:qFormat/>
    <w:uiPriority w:val="0"/>
    <w:rPr>
      <w:b/>
      <w:snapToGrid w:val="0"/>
      <w:color w:val="000000"/>
      <w:sz w:val="26"/>
    </w:rPr>
  </w:style>
  <w:style w:type="character" w:customStyle="1" w:styleId="33">
    <w:name w:val="Заголовок 3 Знак"/>
    <w:link w:val="4"/>
    <w:qFormat/>
    <w:uiPriority w:val="0"/>
    <w:rPr>
      <w:b/>
      <w:bCs/>
      <w:color w:val="000000"/>
      <w:sz w:val="22"/>
      <w:szCs w:val="24"/>
    </w:rPr>
  </w:style>
  <w:style w:type="character" w:customStyle="1" w:styleId="34">
    <w:name w:val="Заголовок 4 Знак"/>
    <w:link w:val="5"/>
    <w:qFormat/>
    <w:uiPriority w:val="0"/>
    <w:rPr>
      <w:rFonts w:ascii="Calibri" w:hAnsi="Calibri"/>
      <w:b/>
      <w:bCs/>
      <w:sz w:val="28"/>
      <w:szCs w:val="28"/>
    </w:rPr>
  </w:style>
  <w:style w:type="character" w:customStyle="1" w:styleId="35">
    <w:name w:val="Заголовок 5 Знак"/>
    <w:link w:val="6"/>
    <w:qFormat/>
    <w:uiPriority w:val="0"/>
    <w:rPr>
      <w:b/>
      <w:bCs/>
      <w:sz w:val="28"/>
    </w:rPr>
  </w:style>
  <w:style w:type="character" w:customStyle="1" w:styleId="36">
    <w:name w:val="Заголовок 6 Знак"/>
    <w:link w:val="7"/>
    <w:qFormat/>
    <w:uiPriority w:val="0"/>
    <w:rPr>
      <w:b/>
      <w:bCs/>
      <w:snapToGrid w:val="0"/>
      <w:color w:val="000000"/>
      <w:sz w:val="28"/>
    </w:rPr>
  </w:style>
  <w:style w:type="character" w:customStyle="1" w:styleId="37">
    <w:name w:val="Заголовок 7 Знак"/>
    <w:link w:val="8"/>
    <w:qFormat/>
    <w:uiPriority w:val="0"/>
    <w:rPr>
      <w:i/>
      <w:iCs/>
      <w:color w:val="000000"/>
      <w:sz w:val="22"/>
      <w:szCs w:val="22"/>
    </w:rPr>
  </w:style>
  <w:style w:type="character" w:customStyle="1" w:styleId="38">
    <w:name w:val="Основной текст Знак"/>
    <w:link w:val="22"/>
    <w:qFormat/>
    <w:uiPriority w:val="0"/>
    <w:rPr>
      <w:sz w:val="28"/>
    </w:rPr>
  </w:style>
  <w:style w:type="paragraph" w:customStyle="1" w:styleId="39">
    <w:name w:val="FR2"/>
    <w:qFormat/>
    <w:uiPriority w:val="0"/>
    <w:pPr>
      <w:widowControl w:val="0"/>
      <w:jc w:val="both"/>
    </w:pPr>
    <w:rPr>
      <w:rFonts w:ascii="Times New Roman" w:hAnsi="Times New Roman" w:eastAsia="Times New Roman" w:cs="Times New Roman"/>
      <w:b/>
      <w:snapToGrid w:val="0"/>
      <w:sz w:val="16"/>
      <w:lang w:val="ru-RU" w:eastAsia="ru-RU" w:bidi="ar-SA"/>
    </w:rPr>
  </w:style>
  <w:style w:type="character" w:customStyle="1" w:styleId="40">
    <w:name w:val="Текст Знак"/>
    <w:link w:val="17"/>
    <w:qFormat/>
    <w:uiPriority w:val="0"/>
    <w:rPr>
      <w:rFonts w:ascii="Courier New" w:hAnsi="Courier New" w:cs="Courier New"/>
    </w:rPr>
  </w:style>
  <w:style w:type="paragraph" w:customStyle="1" w:styleId="41">
    <w:name w:val="Стиль"/>
    <w:qFormat/>
    <w:uiPriority w:val="99"/>
    <w:pPr>
      <w:widowControl w:val="0"/>
      <w:autoSpaceDE w:val="0"/>
      <w:autoSpaceDN w:val="0"/>
      <w:adjustRightInd w:val="0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customStyle="1" w:styleId="42">
    <w:name w:val="Обычный1"/>
    <w:qFormat/>
    <w:uiPriority w:val="0"/>
    <w:pPr>
      <w:widowControl w:val="0"/>
      <w:snapToGrid w:val="0"/>
      <w:spacing w:before="440" w:after="440"/>
    </w:pPr>
    <w:rPr>
      <w:rFonts w:ascii="Times New Roman" w:hAnsi="Times New Roman" w:eastAsia="Times New Roman" w:cs="Times New Roman"/>
      <w:sz w:val="22"/>
      <w:lang w:val="ru-RU" w:eastAsia="ru-RU" w:bidi="ar-SA"/>
    </w:rPr>
  </w:style>
  <w:style w:type="paragraph" w:customStyle="1" w:styleId="43">
    <w:name w:val="Обычный2"/>
    <w:qFormat/>
    <w:uiPriority w:val="0"/>
    <w:pPr>
      <w:widowControl w:val="0"/>
      <w:snapToGrid w:val="0"/>
      <w:spacing w:before="440" w:after="440"/>
    </w:pPr>
    <w:rPr>
      <w:rFonts w:ascii="Times New Roman" w:hAnsi="Times New Roman" w:eastAsia="Times New Roman" w:cs="Times New Roman"/>
      <w:sz w:val="22"/>
      <w:lang w:val="ru-RU" w:eastAsia="ru-RU" w:bidi="ar-SA"/>
    </w:rPr>
  </w:style>
  <w:style w:type="character" w:customStyle="1" w:styleId="44">
    <w:name w:val="Верхний колонтитул Знак"/>
    <w:basedOn w:val="9"/>
    <w:link w:val="21"/>
    <w:qFormat/>
    <w:uiPriority w:val="0"/>
  </w:style>
  <w:style w:type="character" w:customStyle="1" w:styleId="45">
    <w:name w:val="Нижний колонтитул Знак"/>
    <w:basedOn w:val="9"/>
    <w:link w:val="25"/>
    <w:qFormat/>
    <w:uiPriority w:val="0"/>
  </w:style>
  <w:style w:type="character" w:customStyle="1" w:styleId="46">
    <w:name w:val="Гипертекстовая ссылка"/>
    <w:qFormat/>
    <w:uiPriority w:val="99"/>
    <w:rPr>
      <w:color w:val="008000"/>
      <w:szCs w:val="20"/>
      <w:u w:val="single"/>
    </w:rPr>
  </w:style>
  <w:style w:type="paragraph" w:customStyle="1" w:styleId="47">
    <w:name w:val="ConsPlusNormal"/>
    <w:qFormat/>
    <w:uiPriority w:val="0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  <w:style w:type="character" w:customStyle="1" w:styleId="48">
    <w:name w:val="Основной текст с отступом Знак"/>
    <w:link w:val="23"/>
    <w:qFormat/>
    <w:uiPriority w:val="0"/>
    <w:rPr>
      <w:sz w:val="28"/>
    </w:rPr>
  </w:style>
  <w:style w:type="character" w:customStyle="1" w:styleId="49">
    <w:name w:val="Основной текст с отступом 2 Знак"/>
    <w:link w:val="28"/>
    <w:qFormat/>
    <w:uiPriority w:val="0"/>
    <w:rPr>
      <w:sz w:val="28"/>
    </w:rPr>
  </w:style>
  <w:style w:type="character" w:customStyle="1" w:styleId="50">
    <w:name w:val="Основной текст 3 Знак"/>
    <w:link w:val="27"/>
    <w:qFormat/>
    <w:uiPriority w:val="0"/>
    <w:rPr>
      <w:sz w:val="24"/>
    </w:rPr>
  </w:style>
  <w:style w:type="character" w:customStyle="1" w:styleId="51">
    <w:name w:val="Основной текст 2 Знак"/>
    <w:link w:val="16"/>
    <w:qFormat/>
    <w:uiPriority w:val="0"/>
    <w:rPr>
      <w:sz w:val="24"/>
    </w:rPr>
  </w:style>
  <w:style w:type="character" w:customStyle="1" w:styleId="52">
    <w:name w:val="Основной текст с отступом 3 Знак"/>
    <w:link w:val="18"/>
    <w:qFormat/>
    <w:uiPriority w:val="0"/>
    <w:rPr>
      <w:b/>
      <w:sz w:val="28"/>
    </w:rPr>
  </w:style>
  <w:style w:type="character" w:customStyle="1" w:styleId="53">
    <w:name w:val="Заголовок Знак"/>
    <w:link w:val="24"/>
    <w:qFormat/>
    <w:uiPriority w:val="0"/>
    <w:rPr>
      <w:sz w:val="32"/>
      <w:szCs w:val="24"/>
    </w:rPr>
  </w:style>
  <w:style w:type="character" w:customStyle="1" w:styleId="54">
    <w:name w:val="Текст выноски Знак"/>
    <w:link w:val="15"/>
    <w:qFormat/>
    <w:uiPriority w:val="0"/>
    <w:rPr>
      <w:rFonts w:ascii="Tahoma" w:hAnsi="Tahoma" w:cs="Tahoma"/>
      <w:sz w:val="16"/>
      <w:szCs w:val="16"/>
    </w:rPr>
  </w:style>
  <w:style w:type="paragraph" w:customStyle="1" w:styleId="55">
    <w:name w:val="ConsNormal"/>
    <w:qFormat/>
    <w:uiPriority w:val="0"/>
    <w:pPr>
      <w:autoSpaceDE w:val="0"/>
      <w:autoSpaceDN w:val="0"/>
      <w:adjustRightInd w:val="0"/>
      <w:ind w:right="19772" w:firstLine="720"/>
    </w:pPr>
    <w:rPr>
      <w:rFonts w:ascii="Arial" w:hAnsi="Arial" w:eastAsia="Times New Roman" w:cs="Arial"/>
      <w:lang w:val="ru-RU" w:eastAsia="ru-RU" w:bidi="ar-SA"/>
    </w:rPr>
  </w:style>
  <w:style w:type="paragraph" w:customStyle="1" w:styleId="56">
    <w:name w:val="ConsPlusNonformat"/>
    <w:qFormat/>
    <w:uiPriority w:val="0"/>
    <w:pPr>
      <w:widowControl w:val="0"/>
      <w:autoSpaceDE w:val="0"/>
      <w:autoSpaceDN w:val="0"/>
      <w:adjustRightInd w:val="0"/>
    </w:pPr>
    <w:rPr>
      <w:rFonts w:ascii="Courier New" w:hAnsi="Courier New" w:eastAsia="Times New Roman" w:cs="Courier New"/>
      <w:lang w:val="ru-RU" w:eastAsia="ru-RU" w:bidi="ar-SA"/>
    </w:rPr>
  </w:style>
  <w:style w:type="paragraph" w:customStyle="1" w:styleId="57">
    <w:name w:val="consnormal"/>
    <w:basedOn w:val="1"/>
    <w:qFormat/>
    <w:uiPriority w:val="0"/>
    <w:rPr>
      <w:sz w:val="24"/>
      <w:szCs w:val="24"/>
    </w:rPr>
  </w:style>
  <w:style w:type="paragraph" w:customStyle="1" w:styleId="58">
    <w:name w:val="Таблицы (моноширинный)"/>
    <w:basedOn w:val="1"/>
    <w:next w:val="1"/>
    <w:qFormat/>
    <w:uiPriority w:val="0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59">
    <w:name w:val="Цветовое выделение"/>
    <w:qFormat/>
    <w:uiPriority w:val="0"/>
    <w:rPr>
      <w:b/>
      <w:bCs/>
      <w:color w:val="000080"/>
      <w:sz w:val="20"/>
      <w:szCs w:val="20"/>
    </w:rPr>
  </w:style>
  <w:style w:type="paragraph" w:customStyle="1" w:styleId="60">
    <w:name w:val="ConsNonformat"/>
    <w:qFormat/>
    <w:uiPriority w:val="0"/>
    <w:pPr>
      <w:widowControl w:val="0"/>
      <w:autoSpaceDE w:val="0"/>
      <w:autoSpaceDN w:val="0"/>
      <w:adjustRightInd w:val="0"/>
      <w:ind w:right="19772"/>
    </w:pPr>
    <w:rPr>
      <w:rFonts w:ascii="Courier New" w:hAnsi="Courier New" w:eastAsia="Times New Roman" w:cs="Courier New"/>
      <w:lang w:val="ru-RU" w:eastAsia="ru-RU" w:bidi="ar-SA"/>
    </w:rPr>
  </w:style>
  <w:style w:type="paragraph" w:customStyle="1" w:styleId="61">
    <w:name w:val="Знак1"/>
    <w:basedOn w:val="1"/>
    <w:qFormat/>
    <w:uiPriority w:val="0"/>
    <w:pPr>
      <w:spacing w:after="160" w:line="240" w:lineRule="exact"/>
      <w:jc w:val="both"/>
    </w:pPr>
    <w:rPr>
      <w:rFonts w:ascii="Verdana" w:hAnsi="Verdana" w:cs="Arial"/>
      <w:lang w:val="en-US" w:eastAsia="en-US"/>
    </w:rPr>
  </w:style>
  <w:style w:type="paragraph" w:styleId="62">
    <w:name w:val="No Spacing"/>
    <w:link w:val="190"/>
    <w:qFormat/>
    <w:uiPriority w:val="1"/>
    <w:rPr>
      <w:rFonts w:ascii="Times New Roman" w:hAnsi="Times New Roman" w:eastAsia="Times New Roman" w:cs="Times New Roman"/>
      <w:lang w:val="ru-RU" w:eastAsia="ru-RU" w:bidi="ar-SA"/>
    </w:rPr>
  </w:style>
  <w:style w:type="character" w:customStyle="1" w:styleId="63">
    <w:name w:val="Знак Знак4"/>
    <w:qFormat/>
    <w:uiPriority w:val="0"/>
    <w:rPr>
      <w:sz w:val="28"/>
    </w:rPr>
  </w:style>
  <w:style w:type="character" w:customStyle="1" w:styleId="64">
    <w:name w:val="Знак Знак5"/>
    <w:qFormat/>
    <w:uiPriority w:val="0"/>
    <w:rPr>
      <w:sz w:val="28"/>
    </w:rPr>
  </w:style>
  <w:style w:type="paragraph" w:customStyle="1" w:styleId="65">
    <w:name w:val="Нормальный (таблица)"/>
    <w:basedOn w:val="1"/>
    <w:next w:val="1"/>
    <w:qFormat/>
    <w:uiPriority w:val="99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66">
    <w:name w:val="List Paragraph"/>
    <w:basedOn w:val="1"/>
    <w:qFormat/>
    <w:uiPriority w:val="0"/>
    <w:pPr>
      <w:ind w:left="720"/>
      <w:contextualSpacing/>
    </w:pPr>
    <w:rPr>
      <w:sz w:val="28"/>
      <w:szCs w:val="22"/>
      <w:lang w:eastAsia="en-US"/>
    </w:rPr>
  </w:style>
  <w:style w:type="paragraph" w:customStyle="1" w:styleId="67">
    <w:name w:val="Абзац списка1"/>
    <w:basedOn w:val="1"/>
    <w:qFormat/>
    <w:uiPriority w:val="0"/>
    <w:pPr>
      <w:ind w:left="720"/>
      <w:contextualSpacing/>
    </w:pPr>
    <w:rPr>
      <w:sz w:val="28"/>
      <w:szCs w:val="22"/>
      <w:lang w:eastAsia="en-US"/>
    </w:rPr>
  </w:style>
  <w:style w:type="paragraph" w:customStyle="1" w:styleId="68">
    <w:name w:val="ЭЭГ"/>
    <w:basedOn w:val="1"/>
    <w:qFormat/>
    <w:uiPriority w:val="0"/>
    <w:pPr>
      <w:spacing w:line="360" w:lineRule="auto"/>
      <w:ind w:firstLine="720"/>
      <w:jc w:val="both"/>
    </w:pPr>
    <w:rPr>
      <w:rFonts w:eastAsia="Calibri"/>
      <w:sz w:val="24"/>
      <w:szCs w:val="24"/>
    </w:rPr>
  </w:style>
  <w:style w:type="character" w:customStyle="1" w:styleId="69">
    <w:name w:val="Знак Знак2"/>
    <w:qFormat/>
    <w:uiPriority w:val="0"/>
    <w:rPr>
      <w:sz w:val="28"/>
      <w:lang w:val="ru-RU" w:eastAsia="ru-RU" w:bidi="ar-SA"/>
    </w:rPr>
  </w:style>
  <w:style w:type="character" w:customStyle="1" w:styleId="70">
    <w:name w:val="Текст примечания Знак"/>
    <w:link w:val="19"/>
    <w:qFormat/>
    <w:uiPriority w:val="0"/>
    <w:rPr>
      <w:lang w:val="en-US" w:eastAsia="en-US"/>
    </w:rPr>
  </w:style>
  <w:style w:type="character" w:customStyle="1" w:styleId="71">
    <w:name w:val="Схема документа Знак"/>
    <w:link w:val="20"/>
    <w:qFormat/>
    <w:uiPriority w:val="0"/>
    <w:rPr>
      <w:rFonts w:ascii="Tahoma" w:hAnsi="Tahoma" w:cs="Tahoma"/>
      <w:sz w:val="16"/>
      <w:szCs w:val="16"/>
    </w:rPr>
  </w:style>
  <w:style w:type="paragraph" w:customStyle="1" w:styleId="72">
    <w:name w:val="xl64"/>
    <w:basedOn w:val="1"/>
    <w:qFormat/>
    <w:uiPriority w:val="0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73">
    <w:name w:val="xl65"/>
    <w:basedOn w:val="1"/>
    <w:qFormat/>
    <w:uiPriority w:val="0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74">
    <w:name w:val="xl6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8" w:space="0"/>
        <w:right w:val="single" w:color="auto" w:sz="8" w:space="0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75">
    <w:name w:val="xl6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8" w:space="0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76">
    <w:name w:val="xl6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8" w:space="0"/>
        <w:right w:val="single" w:color="auto" w:sz="4" w:space="0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77">
    <w:name w:val="xl69"/>
    <w:basedOn w:val="1"/>
    <w:qFormat/>
    <w:uiPriority w:val="0"/>
    <w:pPr>
      <w:pBdr>
        <w:top w:val="single" w:color="auto" w:sz="4" w:space="0"/>
        <w:bottom w:val="single" w:color="auto" w:sz="8" w:space="0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78">
    <w:name w:val="xl70"/>
    <w:basedOn w:val="1"/>
    <w:qFormat/>
    <w:uiPriority w:val="0"/>
    <w:pPr>
      <w:pBdr>
        <w:top w:val="single" w:color="auto" w:sz="4" w:space="0"/>
        <w:left w:val="single" w:color="auto" w:sz="8" w:space="0"/>
        <w:bottom w:val="single" w:color="auto" w:sz="8" w:space="0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79">
    <w:name w:val="xl71"/>
    <w:basedOn w:val="1"/>
    <w:qFormat/>
    <w:uiPriority w:val="0"/>
    <w:pPr>
      <w:pBdr>
        <w:top w:val="single" w:color="auto" w:sz="8" w:space="0"/>
      </w:pBdr>
      <w:spacing w:before="100" w:beforeAutospacing="1" w:after="100" w:afterAutospacing="1"/>
    </w:pPr>
    <w:rPr>
      <w:sz w:val="24"/>
      <w:szCs w:val="24"/>
    </w:rPr>
  </w:style>
  <w:style w:type="paragraph" w:customStyle="1" w:styleId="80">
    <w:name w:val="xl72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8" w:space="0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81">
    <w:name w:val="xl7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82">
    <w:name w:val="xl74"/>
    <w:basedOn w:val="1"/>
    <w:qFormat/>
    <w:uiPriority w:val="0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83">
    <w:name w:val="xl7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84">
    <w:name w:val="xl76"/>
    <w:basedOn w:val="1"/>
    <w:qFormat/>
    <w:uiPriority w:val="0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85">
    <w:name w:val="xl77"/>
    <w:basedOn w:val="1"/>
    <w:qFormat/>
    <w:uiPriority w:val="0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86">
    <w:name w:val="xl78"/>
    <w:basedOn w:val="1"/>
    <w:qFormat/>
    <w:uiPriority w:val="0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87">
    <w:name w:val="xl79"/>
    <w:basedOn w:val="1"/>
    <w:qFormat/>
    <w:uiPriority w:val="0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88">
    <w:name w:val="xl80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89">
    <w:name w:val="xl81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90">
    <w:name w:val="xl82"/>
    <w:basedOn w:val="1"/>
    <w:qFormat/>
    <w:uiPriority w:val="0"/>
    <w:pPr>
      <w:pBdr>
        <w:left w:val="single" w:color="auto" w:sz="4" w:space="0"/>
        <w:bottom w:val="single" w:color="auto" w:sz="4" w:space="0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91">
    <w:name w:val="xl8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92">
    <w:name w:val="xl84"/>
    <w:basedOn w:val="1"/>
    <w:qFormat/>
    <w:uiPriority w:val="0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93">
    <w:name w:val="xl8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94">
    <w:name w:val="xl8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95">
    <w:name w:val="xl87"/>
    <w:basedOn w:val="1"/>
    <w:qFormat/>
    <w:uiPriority w:val="0"/>
    <w:pPr>
      <w:pBdr>
        <w:left w:val="single" w:color="auto" w:sz="4" w:space="0"/>
        <w:bottom w:val="single" w:color="auto" w:sz="4" w:space="0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96">
    <w:name w:val="xl88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8" w:space="0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97">
    <w:name w:val="xl89"/>
    <w:basedOn w:val="1"/>
    <w:qFormat/>
    <w:uiPriority w:val="0"/>
    <w:pPr>
      <w:pBdr>
        <w:top w:val="single" w:color="auto" w:sz="4" w:space="0"/>
        <w:left w:val="single" w:color="auto" w:sz="4" w:space="0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98">
    <w:name w:val="xl90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99">
    <w:name w:val="xl91"/>
    <w:basedOn w:val="1"/>
    <w:qFormat/>
    <w:uiPriority w:val="0"/>
    <w:pPr>
      <w:pBdr>
        <w:top w:val="single" w:color="auto" w:sz="4" w:space="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100">
    <w:name w:val="xl92"/>
    <w:basedOn w:val="1"/>
    <w:qFormat/>
    <w:uiPriority w:val="0"/>
    <w:pPr>
      <w:pBdr>
        <w:top w:val="single" w:color="auto" w:sz="4" w:space="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101">
    <w:name w:val="xl93"/>
    <w:basedOn w:val="1"/>
    <w:qFormat/>
    <w:uiPriority w:val="0"/>
    <w:pPr>
      <w:pBdr>
        <w:top w:val="single" w:color="auto" w:sz="4" w:space="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102">
    <w:name w:val="xl94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103">
    <w:name w:val="xl95"/>
    <w:basedOn w:val="1"/>
    <w:qFormat/>
    <w:uiPriority w:val="0"/>
    <w:pPr>
      <w:pBdr>
        <w:top w:val="single" w:color="auto" w:sz="4" w:space="0"/>
        <w:left w:val="single" w:color="auto" w:sz="4" w:space="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104">
    <w:name w:val="xl96"/>
    <w:basedOn w:val="1"/>
    <w:qFormat/>
    <w:uiPriority w:val="0"/>
    <w:pPr>
      <w:pBdr>
        <w:bottom w:val="single" w:color="auto" w:sz="4" w:space="0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105">
    <w:name w:val="xl97"/>
    <w:basedOn w:val="1"/>
    <w:qFormat/>
    <w:uiPriority w:val="0"/>
    <w:pPr>
      <w:pBdr>
        <w:left w:val="single" w:color="auto" w:sz="4" w:space="0"/>
        <w:bottom w:val="single" w:color="auto" w:sz="4" w:space="0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106">
    <w:name w:val="xl98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8" w:space="0"/>
      </w:pBdr>
      <w:spacing w:before="100" w:beforeAutospacing="1" w:after="100" w:afterAutospacing="1"/>
      <w:jc w:val="right"/>
      <w:textAlignment w:val="center"/>
    </w:pPr>
    <w:rPr>
      <w:i/>
      <w:iCs/>
      <w:sz w:val="24"/>
      <w:szCs w:val="24"/>
    </w:rPr>
  </w:style>
  <w:style w:type="paragraph" w:customStyle="1" w:styleId="107">
    <w:name w:val="xl99"/>
    <w:basedOn w:val="1"/>
    <w:qFormat/>
    <w:uiPriority w:val="0"/>
    <w:pPr>
      <w:pBdr>
        <w:top w:val="single" w:color="auto" w:sz="4" w:space="0"/>
        <w:left w:val="single" w:color="auto" w:sz="4" w:space="0"/>
      </w:pBdr>
      <w:spacing w:before="100" w:beforeAutospacing="1" w:after="100" w:afterAutospacing="1"/>
      <w:jc w:val="right"/>
      <w:textAlignment w:val="center"/>
    </w:pPr>
    <w:rPr>
      <w:i/>
      <w:iCs/>
      <w:sz w:val="24"/>
      <w:szCs w:val="24"/>
    </w:rPr>
  </w:style>
  <w:style w:type="paragraph" w:customStyle="1" w:styleId="108">
    <w:name w:val="xl100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109">
    <w:name w:val="xl101"/>
    <w:basedOn w:val="1"/>
    <w:qFormat/>
    <w:uiPriority w:val="0"/>
    <w:pPr>
      <w:pBdr>
        <w:top w:val="single" w:color="auto" w:sz="4" w:space="0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110">
    <w:name w:val="xl102"/>
    <w:basedOn w:val="1"/>
    <w:qFormat/>
    <w:uiPriority w:val="0"/>
    <w:pPr>
      <w:pBdr>
        <w:top w:val="single" w:color="auto" w:sz="4" w:space="0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111">
    <w:name w:val="xl103"/>
    <w:basedOn w:val="1"/>
    <w:qFormat/>
    <w:uiPriority w:val="0"/>
    <w:pPr>
      <w:pBdr>
        <w:top w:val="single" w:color="auto" w:sz="4" w:space="0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112">
    <w:name w:val="xl104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113">
    <w:name w:val="xl105"/>
    <w:basedOn w:val="1"/>
    <w:qFormat/>
    <w:uiPriority w:val="0"/>
    <w:pPr>
      <w:pBdr>
        <w:top w:val="single" w:color="auto" w:sz="4" w:space="0"/>
        <w:left w:val="single" w:color="auto" w:sz="4" w:space="0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114">
    <w:name w:val="xl106"/>
    <w:basedOn w:val="1"/>
    <w:qFormat/>
    <w:uiPriority w:val="0"/>
    <w:pPr>
      <w:pBdr>
        <w:left w:val="single" w:color="auto" w:sz="4" w:space="0"/>
        <w:right w:val="single" w:color="auto" w:sz="8" w:space="0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115">
    <w:name w:val="xl107"/>
    <w:basedOn w:val="1"/>
    <w:qFormat/>
    <w:uiPriority w:val="0"/>
    <w:pPr>
      <w:pBdr>
        <w:left w:val="single" w:color="auto" w:sz="4" w:space="0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116">
    <w:name w:val="xl108"/>
    <w:basedOn w:val="1"/>
    <w:qFormat/>
    <w:uiPriority w:val="0"/>
    <w:pPr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117">
    <w:name w:val="xl109"/>
    <w:basedOn w:val="1"/>
    <w:qFormat/>
    <w:uiPriority w:val="0"/>
    <w:pP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118">
    <w:name w:val="xl110"/>
    <w:basedOn w:val="1"/>
    <w:qFormat/>
    <w:uiPriority w:val="0"/>
    <w:pP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119">
    <w:name w:val="xl111"/>
    <w:basedOn w:val="1"/>
    <w:qFormat/>
    <w:uiPriority w:val="0"/>
    <w:pP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120">
    <w:name w:val="xl112"/>
    <w:basedOn w:val="1"/>
    <w:qFormat/>
    <w:uiPriority w:val="0"/>
    <w:pPr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121">
    <w:name w:val="xl113"/>
    <w:basedOn w:val="1"/>
    <w:qFormat/>
    <w:uiPriority w:val="0"/>
    <w:pPr>
      <w:pBdr>
        <w:left w:val="single" w:color="auto" w:sz="4" w:space="0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122">
    <w:name w:val="xl114"/>
    <w:basedOn w:val="1"/>
    <w:qFormat/>
    <w:uiPriority w:val="0"/>
    <w:pPr>
      <w:pBdr>
        <w:left w:val="single" w:color="auto" w:sz="4" w:space="0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123">
    <w:name w:val="xl115"/>
    <w:basedOn w:val="1"/>
    <w:qFormat/>
    <w:uiPriority w:val="0"/>
    <w:pPr>
      <w:pBdr>
        <w:top w:val="single" w:color="auto" w:sz="4" w:space="0"/>
        <w:left w:val="single" w:color="auto" w:sz="4" w:space="0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124">
    <w:name w:val="xl116"/>
    <w:basedOn w:val="1"/>
    <w:qFormat/>
    <w:uiPriority w:val="0"/>
    <w:pPr>
      <w:pBdr>
        <w:top w:val="single" w:color="auto" w:sz="4" w:space="0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125">
    <w:name w:val="xl117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126">
    <w:name w:val="xl118"/>
    <w:basedOn w:val="1"/>
    <w:qFormat/>
    <w:uiPriority w:val="0"/>
    <w:pPr>
      <w:pBdr>
        <w:top w:val="single" w:color="auto" w:sz="4" w:space="0"/>
        <w:left w:val="single" w:color="auto" w:sz="4" w:space="0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127">
    <w:name w:val="xl119"/>
    <w:basedOn w:val="1"/>
    <w:qFormat/>
    <w:uiPriority w:val="0"/>
    <w:pPr>
      <w:pBdr>
        <w:left w:val="single" w:color="auto" w:sz="4" w:space="0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128">
    <w:name w:val="xl120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129">
    <w:name w:val="xl121"/>
    <w:basedOn w:val="1"/>
    <w:qFormat/>
    <w:uiPriority w:val="0"/>
    <w:pPr>
      <w:pBdr>
        <w:left w:val="single" w:color="auto" w:sz="4" w:space="0"/>
        <w:right w:val="single" w:color="auto" w:sz="8" w:space="0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130">
    <w:name w:val="xl122"/>
    <w:basedOn w:val="1"/>
    <w:qFormat/>
    <w:uiPriority w:val="0"/>
    <w:pPr>
      <w:pBdr>
        <w:left w:val="single" w:color="auto" w:sz="4" w:space="0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131">
    <w:name w:val="xl123"/>
    <w:basedOn w:val="1"/>
    <w:qFormat/>
    <w:uiPriority w:val="0"/>
    <w:pPr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132">
    <w:name w:val="xl124"/>
    <w:basedOn w:val="1"/>
    <w:qFormat/>
    <w:uiPriority w:val="0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133">
    <w:name w:val="xl125"/>
    <w:basedOn w:val="1"/>
    <w:qFormat/>
    <w:uiPriority w:val="0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134">
    <w:name w:val="xl126"/>
    <w:basedOn w:val="1"/>
    <w:qFormat/>
    <w:uiPriority w:val="0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135">
    <w:name w:val="xl127"/>
    <w:basedOn w:val="1"/>
    <w:qFormat/>
    <w:uiPriority w:val="0"/>
    <w:pPr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136">
    <w:name w:val="xl128"/>
    <w:basedOn w:val="1"/>
    <w:qFormat/>
    <w:uiPriority w:val="0"/>
    <w:pPr>
      <w:pBdr>
        <w:left w:val="single" w:color="auto" w:sz="4" w:space="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137">
    <w:name w:val="xl129"/>
    <w:basedOn w:val="1"/>
    <w:qFormat/>
    <w:uiPriority w:val="0"/>
    <w:pPr>
      <w:pBdr>
        <w:left w:val="single" w:color="auto" w:sz="4" w:space="0"/>
        <w:right w:val="single" w:color="auto" w:sz="8" w:space="0"/>
      </w:pBdr>
      <w:spacing w:before="100" w:beforeAutospacing="1" w:after="100" w:afterAutospacing="1"/>
      <w:jc w:val="right"/>
      <w:textAlignment w:val="center"/>
    </w:pPr>
    <w:rPr>
      <w:i/>
      <w:iCs/>
      <w:sz w:val="24"/>
      <w:szCs w:val="24"/>
    </w:rPr>
  </w:style>
  <w:style w:type="paragraph" w:customStyle="1" w:styleId="138">
    <w:name w:val="xl130"/>
    <w:basedOn w:val="1"/>
    <w:qFormat/>
    <w:uiPriority w:val="0"/>
    <w:pPr>
      <w:pBdr>
        <w:left w:val="single" w:color="auto" w:sz="4" w:space="0"/>
      </w:pBdr>
      <w:spacing w:before="100" w:beforeAutospacing="1" w:after="100" w:afterAutospacing="1"/>
      <w:jc w:val="right"/>
      <w:textAlignment w:val="center"/>
    </w:pPr>
    <w:rPr>
      <w:i/>
      <w:iCs/>
      <w:sz w:val="24"/>
      <w:szCs w:val="24"/>
    </w:rPr>
  </w:style>
  <w:style w:type="paragraph" w:customStyle="1" w:styleId="139">
    <w:name w:val="xl131"/>
    <w:basedOn w:val="1"/>
    <w:qFormat/>
    <w:uiPriority w:val="0"/>
    <w:pPr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140">
    <w:name w:val="xl132"/>
    <w:basedOn w:val="1"/>
    <w:qFormat/>
    <w:uiPriority w:val="0"/>
    <w:pP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141">
    <w:name w:val="xl133"/>
    <w:basedOn w:val="1"/>
    <w:qFormat/>
    <w:uiPriority w:val="0"/>
    <w:pP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142">
    <w:name w:val="xl134"/>
    <w:basedOn w:val="1"/>
    <w:qFormat/>
    <w:uiPriority w:val="0"/>
    <w:pP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143">
    <w:name w:val="xl135"/>
    <w:basedOn w:val="1"/>
    <w:qFormat/>
    <w:uiPriority w:val="0"/>
    <w:pPr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144">
    <w:name w:val="xl136"/>
    <w:basedOn w:val="1"/>
    <w:qFormat/>
    <w:uiPriority w:val="0"/>
    <w:pPr>
      <w:pBdr>
        <w:left w:val="single" w:color="auto" w:sz="4" w:space="0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145">
    <w:name w:val="xl137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8" w:space="0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146">
    <w:name w:val="xl138"/>
    <w:basedOn w:val="1"/>
    <w:qFormat/>
    <w:uiPriority w:val="0"/>
    <w:pPr>
      <w:pBdr>
        <w:top w:val="single" w:color="auto" w:sz="4" w:space="0"/>
        <w:left w:val="single" w:color="auto" w:sz="4" w:space="0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147">
    <w:name w:val="xl139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148">
    <w:name w:val="xl140"/>
    <w:basedOn w:val="1"/>
    <w:qFormat/>
    <w:uiPriority w:val="0"/>
    <w:pPr>
      <w:pBdr>
        <w:top w:val="single" w:color="auto" w:sz="4" w:space="0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149">
    <w:name w:val="xl141"/>
    <w:basedOn w:val="1"/>
    <w:qFormat/>
    <w:uiPriority w:val="0"/>
    <w:pPr>
      <w:pBdr>
        <w:top w:val="single" w:color="auto" w:sz="4" w:space="0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150">
    <w:name w:val="xl142"/>
    <w:basedOn w:val="1"/>
    <w:qFormat/>
    <w:uiPriority w:val="0"/>
    <w:pPr>
      <w:pBdr>
        <w:top w:val="single" w:color="auto" w:sz="4" w:space="0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151">
    <w:name w:val="xl143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152">
    <w:name w:val="xl144"/>
    <w:basedOn w:val="1"/>
    <w:qFormat/>
    <w:uiPriority w:val="0"/>
    <w:pPr>
      <w:pBdr>
        <w:top w:val="single" w:color="auto" w:sz="4" w:space="0"/>
        <w:left w:val="single" w:color="auto" w:sz="4" w:space="0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153">
    <w:name w:val="xl145"/>
    <w:basedOn w:val="1"/>
    <w:qFormat/>
    <w:uiPriority w:val="0"/>
    <w:pPr>
      <w:pBdr>
        <w:top w:val="single" w:color="auto" w:sz="8" w:space="0"/>
        <w:left w:val="single" w:color="auto" w:sz="8" w:space="0"/>
        <w:right w:val="single" w:color="auto" w:sz="8" w:space="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154">
    <w:name w:val="xl146"/>
    <w:basedOn w:val="1"/>
    <w:qFormat/>
    <w:uiPriority w:val="0"/>
    <w:pPr>
      <w:pBdr>
        <w:top w:val="single" w:color="auto" w:sz="8" w:space="0"/>
        <w:right w:val="single" w:color="auto" w:sz="8" w:space="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155">
    <w:name w:val="xl147"/>
    <w:basedOn w:val="1"/>
    <w:qFormat/>
    <w:uiPriority w:val="0"/>
    <w:pPr>
      <w:pBdr>
        <w:top w:val="single" w:color="auto" w:sz="8" w:space="0"/>
        <w:left w:val="single" w:color="auto" w:sz="8" w:space="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156">
    <w:name w:val="xl148"/>
    <w:basedOn w:val="1"/>
    <w:qFormat/>
    <w:uiPriority w:val="0"/>
    <w:pPr>
      <w:pBdr>
        <w:top w:val="single" w:color="auto" w:sz="8" w:space="0"/>
        <w:left w:val="single" w:color="auto" w:sz="8" w:space="0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157">
    <w:name w:val="xl149"/>
    <w:basedOn w:val="1"/>
    <w:qFormat/>
    <w:uiPriority w:val="0"/>
    <w:pPr>
      <w:pBdr>
        <w:top w:val="single" w:color="auto" w:sz="8" w:space="0"/>
        <w:left w:val="single" w:color="auto" w:sz="8" w:space="0"/>
        <w:right w:val="single" w:color="auto" w:sz="8" w:space="0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158">
    <w:name w:val="xl150"/>
    <w:basedOn w:val="1"/>
    <w:qFormat/>
    <w:uiPriority w:val="0"/>
    <w:pPr>
      <w:pBdr>
        <w:top w:val="single" w:color="auto" w:sz="8" w:space="0"/>
        <w:right w:val="single" w:color="auto" w:sz="8" w:space="0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159">
    <w:name w:val="xl151"/>
    <w:basedOn w:val="1"/>
    <w:qFormat/>
    <w:uiPriority w:val="0"/>
    <w:pPr>
      <w:pBdr>
        <w:right w:val="single" w:color="auto" w:sz="8" w:space="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160">
    <w:name w:val="xl152"/>
    <w:basedOn w:val="1"/>
    <w:qFormat/>
    <w:uiPriority w:val="0"/>
    <w:pPr>
      <w:pBdr>
        <w:top w:val="single" w:color="auto" w:sz="8" w:space="0"/>
        <w:left w:val="single" w:color="auto" w:sz="8" w:space="0"/>
        <w:right w:val="single" w:color="auto" w:sz="8" w:space="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161">
    <w:name w:val="xl153"/>
    <w:basedOn w:val="1"/>
    <w:qFormat/>
    <w:uiPriority w:val="0"/>
    <w:pPr>
      <w:pBdr>
        <w:top w:val="single" w:color="auto" w:sz="8" w:space="0"/>
        <w:left w:val="single" w:color="auto" w:sz="8" w:space="0"/>
        <w:right w:val="single" w:color="auto" w:sz="8" w:space="0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162">
    <w:name w:val="xl154"/>
    <w:basedOn w:val="1"/>
    <w:qFormat/>
    <w:uiPriority w:val="0"/>
    <w:pPr>
      <w:pBdr>
        <w:top w:val="single" w:color="auto" w:sz="8" w:space="0"/>
        <w:right w:val="single" w:color="auto" w:sz="8" w:space="0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163">
    <w:name w:val="xl155"/>
    <w:basedOn w:val="1"/>
    <w:uiPriority w:val="0"/>
    <w:pPr>
      <w:pBdr>
        <w:top w:val="single" w:color="auto" w:sz="8" w:space="0"/>
        <w:left w:val="single" w:color="auto" w:sz="8" w:space="0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164">
    <w:name w:val="xl156"/>
    <w:basedOn w:val="1"/>
    <w:qFormat/>
    <w:uiPriority w:val="0"/>
    <w:pPr>
      <w:pBdr>
        <w:top w:val="single" w:color="auto" w:sz="8" w:space="0"/>
        <w:left w:val="single" w:color="auto" w:sz="8" w:space="0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165">
    <w:name w:val="xl157"/>
    <w:basedOn w:val="1"/>
    <w:uiPriority w:val="0"/>
    <w:pPr>
      <w:pBdr>
        <w:top w:val="single" w:color="auto" w:sz="8" w:space="0"/>
        <w:left w:val="single" w:color="auto" w:sz="8" w:space="0"/>
        <w:right w:val="single" w:color="auto" w:sz="8" w:space="0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166">
    <w:name w:val="xl158"/>
    <w:basedOn w:val="1"/>
    <w:qFormat/>
    <w:uiPriority w:val="0"/>
    <w:pPr>
      <w:pBdr>
        <w:left w:val="single" w:color="auto" w:sz="8" w:space="0"/>
        <w:right w:val="single" w:color="auto" w:sz="8" w:space="0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167">
    <w:name w:val="xl159"/>
    <w:basedOn w:val="1"/>
    <w:uiPriority w:val="0"/>
    <w:pPr>
      <w:pBdr>
        <w:bottom w:val="single" w:color="auto" w:sz="8" w:space="0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168">
    <w:name w:val="xl160"/>
    <w:basedOn w:val="1"/>
    <w:qFormat/>
    <w:uiPriority w:val="0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169">
    <w:name w:val="xl161"/>
    <w:basedOn w:val="1"/>
    <w:qFormat/>
    <w:uiPriority w:val="0"/>
    <w:pPr>
      <w:spacing w:before="100" w:beforeAutospacing="1" w:after="100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170">
    <w:name w:val="xl162"/>
    <w:basedOn w:val="1"/>
    <w:qFormat/>
    <w:uiPriority w:val="0"/>
    <w:pP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171">
    <w:name w:val="xl163"/>
    <w:basedOn w:val="1"/>
    <w:uiPriority w:val="0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172">
    <w:name w:val="xl164"/>
    <w:basedOn w:val="1"/>
    <w:qFormat/>
    <w:uiPriority w:val="0"/>
    <w:pP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173">
    <w:name w:val="xl165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174">
    <w:name w:val="xl166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175">
    <w:name w:val="xl167"/>
    <w:basedOn w:val="1"/>
    <w:uiPriority w:val="0"/>
    <w:pPr>
      <w:pBdr>
        <w:top w:val="single" w:color="auto" w:sz="4" w:space="0"/>
        <w:left w:val="single" w:color="auto" w:sz="4" w:space="0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176">
    <w:name w:val="xl168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177">
    <w:name w:val="xl169"/>
    <w:basedOn w:val="1"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178">
    <w:name w:val="xl170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179">
    <w:name w:val="xl171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180">
    <w:name w:val="xl172"/>
    <w:basedOn w:val="1"/>
    <w:qFormat/>
    <w:uiPriority w:val="0"/>
    <w:pPr>
      <w:pBdr>
        <w:left w:val="single" w:color="auto" w:sz="4" w:space="0"/>
        <w:right w:val="single" w:color="auto" w:sz="4" w:space="0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181">
    <w:name w:val="xl173"/>
    <w:basedOn w:val="1"/>
    <w:qFormat/>
    <w:uiPriority w:val="0"/>
    <w:pPr>
      <w:pBdr>
        <w:left w:val="single" w:color="auto" w:sz="4" w:space="0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182">
    <w:name w:val="xl174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183">
    <w:name w:val="xl175"/>
    <w:basedOn w:val="1"/>
    <w:qFormat/>
    <w:uiPriority w:val="0"/>
    <w:pPr>
      <w:pBdr>
        <w:top w:val="single" w:color="auto" w:sz="4" w:space="0"/>
        <w:left w:val="single" w:color="auto" w:sz="4" w:space="0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184">
    <w:name w:val="xl176"/>
    <w:basedOn w:val="1"/>
    <w:qFormat/>
    <w:uiPriority w:val="0"/>
    <w:pPr>
      <w:pBdr>
        <w:left w:val="single" w:color="auto" w:sz="4" w:space="0"/>
        <w:right w:val="single" w:color="auto" w:sz="4" w:space="0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185">
    <w:name w:val="xl177"/>
    <w:basedOn w:val="1"/>
    <w:qFormat/>
    <w:uiPriority w:val="0"/>
    <w:pPr>
      <w:pBdr>
        <w:left w:val="single" w:color="auto" w:sz="4" w:space="0"/>
        <w:right w:val="single" w:color="auto" w:sz="4" w:space="0"/>
      </w:pBdr>
      <w:spacing w:before="100" w:beforeAutospacing="1" w:after="100" w:afterAutospacing="1"/>
      <w:textAlignment w:val="center"/>
    </w:pPr>
    <w:rPr>
      <w:sz w:val="24"/>
      <w:szCs w:val="24"/>
    </w:rPr>
  </w:style>
  <w:style w:type="character" w:customStyle="1" w:styleId="186">
    <w:name w:val="Заголовок 1 Знак1"/>
    <w:qFormat/>
    <w:uiPriority w:val="0"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customStyle="1" w:styleId="187">
    <w:name w:val="blk"/>
    <w:qFormat/>
    <w:uiPriority w:val="0"/>
  </w:style>
  <w:style w:type="character" w:customStyle="1" w:styleId="188">
    <w:name w:val="Заголовок №1 + Интервал 0 pt"/>
    <w:qFormat/>
    <w:uiPriority w:val="0"/>
    <w:rPr>
      <w:b/>
      <w:bCs/>
      <w:spacing w:val="9"/>
      <w:sz w:val="36"/>
      <w:szCs w:val="36"/>
      <w:shd w:val="clear" w:color="auto" w:fill="FFFFFF"/>
    </w:rPr>
  </w:style>
  <w:style w:type="character" w:customStyle="1" w:styleId="189">
    <w:name w:val="dynatree-node"/>
    <w:qFormat/>
    <w:uiPriority w:val="0"/>
  </w:style>
  <w:style w:type="character" w:customStyle="1" w:styleId="190">
    <w:name w:val="Без интервала Знак"/>
    <w:link w:val="62"/>
    <w:qFormat/>
    <w:locked/>
    <w:uiPriority w:val="1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98FCC-A290-470C-B6F3-5FF7804509F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OrencompCo.</Company>
  <Pages>4</Pages>
  <Words>618</Words>
  <Characters>4256</Characters>
  <Lines>46</Lines>
  <Paragraphs>13</Paragraphs>
  <TotalTime>0</TotalTime>
  <ScaleCrop>false</ScaleCrop>
  <LinksUpToDate>false</LinksUpToDate>
  <CharactersWithSpaces>4895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2022-06-06T05:30:00Z</dcterms:created>
  <dc:creator>Администратор</dc:creator>
  <cp:lastModifiedBy>WPS_1777879935</cp:lastModifiedBy>
  <cp:lastPrinted>2023-03-20T12:28:00Z</cp:lastPrinted>
  <dcterms:modified xsi:type="dcterms:W3CDTF">2026-10-16T06:06:43Z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eyJoZGlkIjoiN2M1MTJlZmZjZGFmMzE5NmI4YTc4MzFiYWIzZjVkNjYiLCJ1c2VySWQiOiI4MjQ2MzQ5OTQ4MjEifQ==</vt:lpwstr>
  </property>
  <property fmtid="{D5CDD505-2E9C-101B-9397-08002B2CF9AE}" pid="3" name="KSOProductBuildVer">
    <vt:lpwstr>1049-12.1.0.29162</vt:lpwstr>
  </property>
  <property fmtid="{D5CDD505-2E9C-101B-9397-08002B2CF9AE}" pid="4" name="ICV">
    <vt:lpwstr>D3B9E915D6BC40189CD92F3244F47031_12</vt:lpwstr>
  </property>
</Properties>
</file>